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56BA4" w14:textId="77777777" w:rsidR="00D75306" w:rsidRPr="00D75306" w:rsidRDefault="00D75306" w:rsidP="00D75306">
      <w:pPr>
        <w:pStyle w:val="BasicParagraph"/>
        <w:suppressAutoHyphens/>
        <w:rPr>
          <w:rFonts w:ascii="Arial" w:hAnsi="Arial" w:cs="Arial"/>
          <w:b/>
          <w:bCs/>
          <w:color w:val="000000" w:themeColor="text1"/>
          <w:sz w:val="20"/>
          <w:szCs w:val="20"/>
        </w:rPr>
      </w:pPr>
      <w:r w:rsidRPr="00D75306">
        <w:rPr>
          <w:rFonts w:ascii="Arial" w:hAnsi="Arial" w:cs="Arial"/>
          <w:b/>
          <w:bCs/>
          <w:color w:val="000000" w:themeColor="text1"/>
          <w:sz w:val="20"/>
          <w:szCs w:val="20"/>
        </w:rPr>
        <w:t>INDICATION</w:t>
      </w:r>
    </w:p>
    <w:p w14:paraId="627F6045" w14:textId="77777777" w:rsidR="00D75306" w:rsidRPr="00D75306" w:rsidRDefault="00D75306" w:rsidP="00D75306">
      <w:pPr>
        <w:pStyle w:val="BasicParagraph"/>
        <w:suppressAutoHyphens/>
        <w:rPr>
          <w:rFonts w:ascii="Arial" w:hAnsi="Arial" w:cs="Arial"/>
          <w:color w:val="000000" w:themeColor="text1"/>
          <w:sz w:val="20"/>
          <w:szCs w:val="20"/>
        </w:rPr>
      </w:pPr>
    </w:p>
    <w:p w14:paraId="4B9D3445" w14:textId="77777777" w:rsidR="00D75306" w:rsidRPr="00D75306" w:rsidRDefault="00D75306" w:rsidP="00D75306">
      <w:pPr>
        <w:pStyle w:val="BasicParagraph"/>
        <w:suppressAutoHyphens/>
        <w:rPr>
          <w:rFonts w:ascii="Arial" w:hAnsi="Arial" w:cs="Arial"/>
          <w:color w:val="000000" w:themeColor="text1"/>
          <w:sz w:val="20"/>
          <w:szCs w:val="20"/>
        </w:rPr>
      </w:pPr>
      <w:r w:rsidRPr="00D75306">
        <w:rPr>
          <w:rFonts w:ascii="Arial" w:hAnsi="Arial" w:cs="Arial"/>
          <w:color w:val="000000" w:themeColor="text1"/>
          <w:sz w:val="20"/>
          <w:szCs w:val="20"/>
        </w:rPr>
        <w:t>KRYSTEXXA</w:t>
      </w:r>
      <w:r w:rsidRPr="00FB6390">
        <w:rPr>
          <w:rFonts w:ascii="Arial" w:hAnsi="Arial" w:cs="Arial"/>
          <w:color w:val="000000" w:themeColor="text1"/>
          <w:sz w:val="20"/>
          <w:szCs w:val="20"/>
          <w:vertAlign w:val="superscript"/>
        </w:rPr>
        <w:t>®</w:t>
      </w:r>
      <w:r w:rsidRPr="00D75306">
        <w:rPr>
          <w:rFonts w:ascii="Arial" w:hAnsi="Arial" w:cs="Arial"/>
          <w:color w:val="000000" w:themeColor="text1"/>
          <w:sz w:val="20"/>
          <w:szCs w:val="20"/>
        </w:rPr>
        <w:t xml:space="preserve"> (pegloticase) is indicated for the treatment of chronic gout in adult patients who have failed to normalize serum uric acid and whose signs and symptoms are inadequately controlled with xanthine oxidase inhibitors at the maximum medically appropriate dose or for whom these drugs are contraindicated.</w:t>
      </w:r>
    </w:p>
    <w:p w14:paraId="68EB28E9" w14:textId="77777777" w:rsidR="00D75306" w:rsidRPr="00D75306" w:rsidRDefault="00D75306" w:rsidP="00D75306">
      <w:pPr>
        <w:pStyle w:val="BasicParagraph"/>
        <w:suppressAutoHyphens/>
        <w:rPr>
          <w:rFonts w:ascii="Arial" w:hAnsi="Arial" w:cs="Arial"/>
          <w:color w:val="000000" w:themeColor="text1"/>
          <w:sz w:val="20"/>
          <w:szCs w:val="20"/>
        </w:rPr>
      </w:pPr>
    </w:p>
    <w:p w14:paraId="66460E45" w14:textId="208D576D" w:rsidR="00D75306" w:rsidRDefault="00D75306" w:rsidP="00D75306">
      <w:pPr>
        <w:pStyle w:val="BasicParagraph"/>
        <w:suppressAutoHyphens/>
        <w:rPr>
          <w:rFonts w:ascii="Arial" w:hAnsi="Arial" w:cs="Arial"/>
          <w:color w:val="000000" w:themeColor="text1"/>
          <w:sz w:val="20"/>
          <w:szCs w:val="20"/>
        </w:rPr>
      </w:pPr>
      <w:r w:rsidRPr="00D75306">
        <w:rPr>
          <w:rFonts w:ascii="Arial" w:hAnsi="Arial" w:cs="Arial"/>
          <w:color w:val="000000" w:themeColor="text1"/>
          <w:sz w:val="20"/>
          <w:szCs w:val="20"/>
        </w:rPr>
        <w:t>Limitations of Use: KRYSTEXXA is not recommended for the treatment of asymptomatic hyperuricemia.</w:t>
      </w:r>
    </w:p>
    <w:p w14:paraId="2E34EAA2" w14:textId="77777777" w:rsidR="00D75306" w:rsidRDefault="00D75306" w:rsidP="00D75306">
      <w:pPr>
        <w:pStyle w:val="BasicParagraph"/>
        <w:suppressAutoHyphens/>
        <w:rPr>
          <w:rFonts w:ascii="Arial" w:hAnsi="Arial" w:cs="Arial"/>
          <w:color w:val="000000" w:themeColor="text1"/>
          <w:sz w:val="20"/>
          <w:szCs w:val="20"/>
        </w:rPr>
      </w:pPr>
    </w:p>
    <w:p w14:paraId="3B56F464" w14:textId="77777777" w:rsidR="00D75306" w:rsidRDefault="00D75306" w:rsidP="00D75306">
      <w:pPr>
        <w:pStyle w:val="BasicParagraph"/>
        <w:suppressAutoHyphens/>
        <w:rPr>
          <w:rFonts w:ascii="Arial" w:hAnsi="Arial" w:cs="Arial"/>
          <w:color w:val="000000" w:themeColor="text1"/>
          <w:sz w:val="20"/>
          <w:szCs w:val="20"/>
        </w:rPr>
      </w:pPr>
    </w:p>
    <w:p w14:paraId="02D1E861" w14:textId="307DD44B" w:rsidR="0097469E" w:rsidRPr="006858AD" w:rsidRDefault="0097469E" w:rsidP="0097469E">
      <w:pPr>
        <w:pStyle w:val="BasicParagraph"/>
        <w:suppressAutoHyphens/>
        <w:rPr>
          <w:rFonts w:ascii="Arial" w:hAnsi="Arial" w:cs="Arial"/>
          <w:color w:val="FF0000"/>
          <w:sz w:val="20"/>
          <w:szCs w:val="20"/>
        </w:rPr>
      </w:pPr>
      <w:r w:rsidRPr="006858AD">
        <w:rPr>
          <w:rFonts w:ascii="Arial" w:hAnsi="Arial" w:cs="Arial"/>
          <w:color w:val="000000" w:themeColor="text1"/>
          <w:sz w:val="20"/>
          <w:szCs w:val="20"/>
        </w:rPr>
        <w:t>Re:</w:t>
      </w:r>
      <w:r w:rsidR="00F655C7" w:rsidRPr="008C16DC">
        <w:rPr>
          <w:rFonts w:ascii="Arial" w:hAnsi="Arial" w:cs="Arial"/>
          <w:color w:val="000000" w:themeColor="text1"/>
          <w:sz w:val="20"/>
          <w:szCs w:val="20"/>
        </w:rPr>
        <w:t xml:space="preserve"> Letter of Medical Necessity </w:t>
      </w:r>
      <w:r w:rsidRPr="006858AD">
        <w:rPr>
          <w:rFonts w:ascii="Arial" w:hAnsi="Arial" w:cs="Arial"/>
          <w:color w:val="000000" w:themeColor="text1"/>
          <w:sz w:val="20"/>
          <w:szCs w:val="20"/>
        </w:rPr>
        <w:t>for</w:t>
      </w:r>
      <w:r w:rsidR="00AE2537" w:rsidRPr="006858AD">
        <w:rPr>
          <w:rFonts w:ascii="Arial" w:hAnsi="Arial" w:cs="Arial"/>
          <w:color w:val="000000" w:themeColor="text1"/>
          <w:sz w:val="20"/>
          <w:szCs w:val="20"/>
        </w:rPr>
        <w:t xml:space="preserve"> J2507, KRYSTEXXA</w:t>
      </w:r>
      <w:r w:rsidR="008A01DD" w:rsidRPr="006858AD">
        <w:rPr>
          <w:rFonts w:ascii="Arial" w:hAnsi="Arial" w:cs="Arial"/>
          <w:color w:val="000000" w:themeColor="text1"/>
          <w:sz w:val="20"/>
          <w:szCs w:val="20"/>
          <w:vertAlign w:val="superscript"/>
        </w:rPr>
        <w:t>®</w:t>
      </w:r>
      <w:r w:rsidR="002E592C" w:rsidRPr="006858AD">
        <w:rPr>
          <w:rFonts w:ascii="Arial" w:hAnsi="Arial" w:cs="Arial"/>
          <w:color w:val="000000" w:themeColor="text1"/>
          <w:sz w:val="20"/>
          <w:szCs w:val="20"/>
        </w:rPr>
        <w:t xml:space="preserve"> (pegloticase)</w:t>
      </w:r>
      <w:r w:rsidR="00AE2537" w:rsidRPr="006858AD">
        <w:rPr>
          <w:rFonts w:ascii="Arial" w:hAnsi="Arial" w:cs="Arial"/>
          <w:color w:val="000000" w:themeColor="text1"/>
          <w:sz w:val="20"/>
          <w:szCs w:val="20"/>
        </w:rPr>
        <w:t>,</w:t>
      </w:r>
      <w:r w:rsidR="009B2D2D" w:rsidRPr="006858AD">
        <w:rPr>
          <w:rFonts w:ascii="Arial" w:hAnsi="Arial" w:cs="Arial"/>
          <w:color w:val="000000" w:themeColor="text1"/>
          <w:sz w:val="20"/>
          <w:szCs w:val="20"/>
        </w:rPr>
        <w:t xml:space="preserve"> </w:t>
      </w:r>
      <w:r w:rsidR="00AE2537" w:rsidRPr="006858AD">
        <w:rPr>
          <w:rFonts w:ascii="Arial" w:hAnsi="Arial" w:cs="Arial"/>
          <w:color w:val="000000" w:themeColor="text1"/>
          <w:sz w:val="20"/>
          <w:szCs w:val="20"/>
        </w:rPr>
        <w:t xml:space="preserve">1 mg </w:t>
      </w:r>
      <w:r w:rsidR="009B2D2D" w:rsidRPr="006858AD">
        <w:rPr>
          <w:rFonts w:ascii="Arial" w:hAnsi="Arial" w:cs="Arial"/>
          <w:color w:val="000000" w:themeColor="text1"/>
          <w:sz w:val="20"/>
          <w:szCs w:val="20"/>
        </w:rPr>
        <w:t>(x 8 units)</w:t>
      </w:r>
    </w:p>
    <w:p w14:paraId="49CC77FA" w14:textId="64B6912E" w:rsidR="0097469E" w:rsidRPr="006858AD" w:rsidRDefault="0097469E" w:rsidP="0097469E">
      <w:pPr>
        <w:pStyle w:val="BasicParagraph"/>
        <w:suppressAutoHyphens/>
        <w:rPr>
          <w:rFonts w:ascii="Arial" w:hAnsi="Arial" w:cs="Arial"/>
          <w:color w:val="FF40FF"/>
          <w:sz w:val="20"/>
          <w:szCs w:val="20"/>
        </w:rPr>
      </w:pPr>
      <w:r w:rsidRPr="006858AD">
        <w:rPr>
          <w:rFonts w:ascii="Arial" w:hAnsi="Arial" w:cs="Arial"/>
          <w:color w:val="000000" w:themeColor="text1"/>
          <w:sz w:val="20"/>
          <w:szCs w:val="20"/>
        </w:rPr>
        <w:t xml:space="preserve">Patient: </w:t>
      </w:r>
      <w:r w:rsidR="009B367D" w:rsidRPr="006858AD">
        <w:rPr>
          <w:rFonts w:ascii="Arial" w:hAnsi="Arial" w:cs="Arial"/>
          <w:color w:val="FF40FF"/>
          <w:sz w:val="20"/>
          <w:szCs w:val="20"/>
        </w:rPr>
        <w:t>[</w:t>
      </w:r>
      <w:r w:rsidR="003A5034" w:rsidRPr="006858AD">
        <w:rPr>
          <w:rFonts w:ascii="Arial" w:hAnsi="Arial" w:cs="Arial"/>
          <w:color w:val="FF40FF"/>
          <w:sz w:val="20"/>
          <w:szCs w:val="20"/>
        </w:rPr>
        <w:t xml:space="preserve">Patient </w:t>
      </w:r>
      <w:r w:rsidR="00400D41" w:rsidRPr="006858AD">
        <w:rPr>
          <w:rFonts w:ascii="Arial" w:hAnsi="Arial" w:cs="Arial"/>
          <w:color w:val="FF40FF"/>
          <w:sz w:val="20"/>
          <w:szCs w:val="20"/>
        </w:rPr>
        <w:t>N</w:t>
      </w:r>
      <w:r w:rsidR="003A5034" w:rsidRPr="006858AD">
        <w:rPr>
          <w:rFonts w:ascii="Arial" w:hAnsi="Arial" w:cs="Arial"/>
          <w:color w:val="FF40FF"/>
          <w:sz w:val="20"/>
          <w:szCs w:val="20"/>
        </w:rPr>
        <w:t>ame</w:t>
      </w:r>
      <w:r w:rsidRPr="006858AD">
        <w:rPr>
          <w:rFonts w:ascii="Arial" w:hAnsi="Arial" w:cs="Arial"/>
          <w:color w:val="FF40FF"/>
          <w:sz w:val="20"/>
          <w:szCs w:val="20"/>
        </w:rPr>
        <w:t>]</w:t>
      </w:r>
    </w:p>
    <w:p w14:paraId="44238824" w14:textId="2E0657B5" w:rsidR="0097469E" w:rsidRPr="006858AD" w:rsidRDefault="009B2D2D" w:rsidP="0097469E">
      <w:pPr>
        <w:pStyle w:val="BasicParagraph"/>
        <w:suppressAutoHyphens/>
        <w:rPr>
          <w:rFonts w:ascii="Arial" w:hAnsi="Arial" w:cs="Arial"/>
          <w:color w:val="000000" w:themeColor="text1"/>
          <w:sz w:val="20"/>
          <w:szCs w:val="20"/>
        </w:rPr>
      </w:pPr>
      <w:r w:rsidRPr="006858AD">
        <w:rPr>
          <w:rFonts w:ascii="Arial" w:hAnsi="Arial" w:cs="Arial"/>
          <w:color w:val="000000" w:themeColor="text1"/>
          <w:sz w:val="20"/>
          <w:szCs w:val="20"/>
        </w:rPr>
        <w:t xml:space="preserve">Group/Policy </w:t>
      </w:r>
      <w:r w:rsidR="00E36293">
        <w:rPr>
          <w:rFonts w:ascii="Arial" w:hAnsi="Arial" w:cs="Arial"/>
          <w:color w:val="000000" w:themeColor="text1"/>
          <w:sz w:val="20"/>
          <w:szCs w:val="20"/>
        </w:rPr>
        <w:t>N</w:t>
      </w:r>
      <w:r w:rsidRPr="006858AD">
        <w:rPr>
          <w:rFonts w:ascii="Arial" w:hAnsi="Arial" w:cs="Arial"/>
          <w:color w:val="000000" w:themeColor="text1"/>
          <w:sz w:val="20"/>
          <w:szCs w:val="20"/>
        </w:rPr>
        <w:t>umber</w:t>
      </w:r>
      <w:r w:rsidR="0097469E" w:rsidRPr="006858AD">
        <w:rPr>
          <w:rFonts w:ascii="Arial" w:hAnsi="Arial" w:cs="Arial"/>
          <w:color w:val="auto"/>
          <w:sz w:val="20"/>
          <w:szCs w:val="20"/>
        </w:rPr>
        <w:t>:</w:t>
      </w:r>
      <w:r w:rsidR="0097469E" w:rsidRPr="006858AD">
        <w:rPr>
          <w:rFonts w:ascii="Arial" w:hAnsi="Arial" w:cs="Arial"/>
          <w:color w:val="FF0066"/>
          <w:sz w:val="20"/>
          <w:szCs w:val="20"/>
        </w:rPr>
        <w:t xml:space="preserve"> </w:t>
      </w:r>
      <w:r w:rsidR="00D20B10" w:rsidRPr="006858AD">
        <w:rPr>
          <w:rFonts w:ascii="Arial" w:hAnsi="Arial" w:cs="Arial"/>
          <w:color w:val="FF40FF"/>
          <w:sz w:val="20"/>
          <w:szCs w:val="20"/>
        </w:rPr>
        <w:t>[</w:t>
      </w:r>
      <w:r w:rsidRPr="006858AD">
        <w:rPr>
          <w:rFonts w:ascii="Arial" w:hAnsi="Arial" w:cs="Arial"/>
          <w:color w:val="FF40FF"/>
          <w:sz w:val="20"/>
          <w:szCs w:val="20"/>
        </w:rPr>
        <w:t>Numbers</w:t>
      </w:r>
      <w:r w:rsidR="00D20B10" w:rsidRPr="006858AD">
        <w:rPr>
          <w:rFonts w:ascii="Arial" w:hAnsi="Arial" w:cs="Arial"/>
          <w:color w:val="FF40FF"/>
          <w:sz w:val="20"/>
          <w:szCs w:val="20"/>
        </w:rPr>
        <w:t>]</w:t>
      </w:r>
    </w:p>
    <w:p w14:paraId="222AA126" w14:textId="48CAA45F" w:rsidR="0097469E" w:rsidRPr="006858AD" w:rsidRDefault="0097469E" w:rsidP="0097469E">
      <w:pPr>
        <w:pStyle w:val="BasicParagraph"/>
        <w:suppressAutoHyphens/>
        <w:rPr>
          <w:rFonts w:ascii="Arial" w:hAnsi="Arial" w:cs="Arial"/>
          <w:color w:val="000000" w:themeColor="text1"/>
          <w:sz w:val="20"/>
          <w:szCs w:val="20"/>
        </w:rPr>
      </w:pPr>
      <w:r w:rsidRPr="006858AD">
        <w:rPr>
          <w:rFonts w:ascii="Arial" w:hAnsi="Arial" w:cs="Arial"/>
          <w:color w:val="000000" w:themeColor="text1"/>
          <w:sz w:val="20"/>
          <w:szCs w:val="20"/>
        </w:rPr>
        <w:t xml:space="preserve">Date(s) of Service: </w:t>
      </w:r>
      <w:r w:rsidRPr="006858AD">
        <w:rPr>
          <w:rFonts w:ascii="Arial" w:hAnsi="Arial" w:cs="Arial"/>
          <w:color w:val="FF40FF"/>
          <w:sz w:val="20"/>
          <w:szCs w:val="20"/>
        </w:rPr>
        <w:t>[</w:t>
      </w:r>
      <w:r w:rsidR="009B2D2D" w:rsidRPr="006858AD">
        <w:rPr>
          <w:rFonts w:ascii="Arial" w:hAnsi="Arial" w:cs="Arial"/>
          <w:color w:val="FF40FF"/>
          <w:sz w:val="20"/>
          <w:szCs w:val="20"/>
        </w:rPr>
        <w:t>D</w:t>
      </w:r>
      <w:r w:rsidRPr="006858AD">
        <w:rPr>
          <w:rFonts w:ascii="Arial" w:hAnsi="Arial" w:cs="Arial"/>
          <w:color w:val="FF40FF"/>
          <w:sz w:val="20"/>
          <w:szCs w:val="20"/>
        </w:rPr>
        <w:t>ates]</w:t>
      </w:r>
    </w:p>
    <w:p w14:paraId="58750100" w14:textId="41461579" w:rsidR="0097469E" w:rsidRPr="006858AD" w:rsidRDefault="0097469E" w:rsidP="0097469E">
      <w:pPr>
        <w:pStyle w:val="BasicParagraph"/>
        <w:suppressAutoHyphens/>
        <w:rPr>
          <w:rFonts w:ascii="Arial" w:hAnsi="Arial" w:cs="Arial"/>
          <w:color w:val="FF0066"/>
          <w:sz w:val="20"/>
          <w:szCs w:val="20"/>
        </w:rPr>
      </w:pPr>
      <w:r w:rsidRPr="006858AD">
        <w:rPr>
          <w:rFonts w:ascii="Arial" w:hAnsi="Arial" w:cs="Arial"/>
          <w:color w:val="000000" w:themeColor="text1"/>
          <w:sz w:val="20"/>
          <w:szCs w:val="20"/>
        </w:rPr>
        <w:t xml:space="preserve">Diagnosis: </w:t>
      </w:r>
      <w:r w:rsidRPr="006858AD">
        <w:rPr>
          <w:rFonts w:ascii="Arial" w:hAnsi="Arial" w:cs="Arial"/>
          <w:color w:val="FF40FF"/>
          <w:sz w:val="20"/>
          <w:szCs w:val="20"/>
        </w:rPr>
        <w:t>[</w:t>
      </w:r>
      <w:r w:rsidR="009B2D2D" w:rsidRPr="006858AD">
        <w:rPr>
          <w:rFonts w:ascii="Arial" w:hAnsi="Arial" w:cs="Arial"/>
          <w:color w:val="FF40FF"/>
          <w:sz w:val="20"/>
          <w:szCs w:val="20"/>
        </w:rPr>
        <w:t xml:space="preserve">ICD-10-CM </w:t>
      </w:r>
      <w:r w:rsidR="00D20B10" w:rsidRPr="006858AD">
        <w:rPr>
          <w:rFonts w:ascii="Arial" w:hAnsi="Arial" w:cs="Arial"/>
          <w:color w:val="FF40FF"/>
          <w:sz w:val="20"/>
          <w:szCs w:val="20"/>
        </w:rPr>
        <w:t>c</w:t>
      </w:r>
      <w:r w:rsidRPr="006858AD">
        <w:rPr>
          <w:rFonts w:ascii="Arial" w:hAnsi="Arial" w:cs="Arial"/>
          <w:color w:val="FF40FF"/>
          <w:sz w:val="20"/>
          <w:szCs w:val="20"/>
        </w:rPr>
        <w:t>ode</w:t>
      </w:r>
      <w:r w:rsidR="007E634F" w:rsidRPr="006858AD">
        <w:rPr>
          <w:rFonts w:ascii="Arial" w:hAnsi="Arial" w:cs="Arial"/>
          <w:color w:val="FF40FF"/>
          <w:sz w:val="20"/>
          <w:szCs w:val="20"/>
        </w:rPr>
        <w:t>s</w:t>
      </w:r>
      <w:r w:rsidRPr="006858AD">
        <w:rPr>
          <w:rFonts w:ascii="Arial" w:hAnsi="Arial" w:cs="Arial"/>
          <w:color w:val="FF40FF"/>
          <w:sz w:val="20"/>
          <w:szCs w:val="20"/>
        </w:rPr>
        <w:t xml:space="preserve"> </w:t>
      </w:r>
      <w:r w:rsidR="009B2D2D" w:rsidRPr="006858AD">
        <w:rPr>
          <w:rFonts w:ascii="Arial" w:hAnsi="Arial" w:cs="Arial"/>
          <w:color w:val="FF40FF"/>
          <w:sz w:val="20"/>
          <w:szCs w:val="20"/>
        </w:rPr>
        <w:t>and</w:t>
      </w:r>
      <w:r w:rsidRPr="006858AD">
        <w:rPr>
          <w:rFonts w:ascii="Arial" w:hAnsi="Arial" w:cs="Arial"/>
          <w:color w:val="FF40FF"/>
          <w:sz w:val="20"/>
          <w:szCs w:val="20"/>
        </w:rPr>
        <w:t xml:space="preserve"> description]</w:t>
      </w:r>
    </w:p>
    <w:p w14:paraId="1BB440CF" w14:textId="77777777" w:rsidR="0097469E" w:rsidRPr="006858AD" w:rsidRDefault="0097469E" w:rsidP="0097469E">
      <w:pPr>
        <w:pStyle w:val="BasicParagraph"/>
        <w:suppressAutoHyphens/>
        <w:rPr>
          <w:rFonts w:ascii="Arial" w:hAnsi="Arial" w:cs="Arial"/>
          <w:color w:val="000000" w:themeColor="text1"/>
          <w:sz w:val="20"/>
          <w:szCs w:val="20"/>
        </w:rPr>
      </w:pPr>
    </w:p>
    <w:p w14:paraId="6D26F693" w14:textId="36118B5B" w:rsidR="0097469E" w:rsidRPr="006858AD" w:rsidRDefault="0097469E" w:rsidP="0097469E">
      <w:pPr>
        <w:pStyle w:val="BasicParagraph"/>
        <w:suppressAutoHyphens/>
        <w:rPr>
          <w:rFonts w:ascii="Arial" w:hAnsi="Arial" w:cs="Arial"/>
          <w:color w:val="FF0066"/>
          <w:sz w:val="20"/>
          <w:szCs w:val="20"/>
        </w:rPr>
      </w:pPr>
      <w:r w:rsidRPr="006858AD">
        <w:rPr>
          <w:rFonts w:ascii="Arial" w:hAnsi="Arial" w:cs="Arial"/>
          <w:color w:val="000000" w:themeColor="text1"/>
          <w:sz w:val="20"/>
          <w:szCs w:val="20"/>
        </w:rPr>
        <w:t xml:space="preserve">Dear </w:t>
      </w:r>
      <w:r w:rsidRPr="006858AD">
        <w:rPr>
          <w:rFonts w:ascii="Arial" w:hAnsi="Arial" w:cs="Arial"/>
          <w:color w:val="FF40FF"/>
          <w:sz w:val="20"/>
          <w:szCs w:val="20"/>
        </w:rPr>
        <w:t>[</w:t>
      </w:r>
      <w:r w:rsidR="004B326A" w:rsidRPr="006858AD">
        <w:rPr>
          <w:rFonts w:ascii="Arial" w:hAnsi="Arial" w:cs="Arial"/>
          <w:color w:val="FF40FF"/>
          <w:sz w:val="20"/>
          <w:szCs w:val="20"/>
        </w:rPr>
        <w:t>Payor representative name</w:t>
      </w:r>
      <w:r w:rsidRPr="006858AD">
        <w:rPr>
          <w:rFonts w:ascii="Arial" w:hAnsi="Arial" w:cs="Arial"/>
          <w:color w:val="FF40FF"/>
          <w:sz w:val="20"/>
          <w:szCs w:val="20"/>
        </w:rPr>
        <w:t>]</w:t>
      </w:r>
      <w:r w:rsidRPr="006858AD">
        <w:rPr>
          <w:rFonts w:ascii="Arial" w:hAnsi="Arial" w:cs="Arial"/>
          <w:color w:val="auto"/>
          <w:sz w:val="20"/>
          <w:szCs w:val="20"/>
        </w:rPr>
        <w:t>,</w:t>
      </w:r>
    </w:p>
    <w:p w14:paraId="01F1E369" w14:textId="6D5E8C0B" w:rsidR="00413F6E" w:rsidRPr="006858AD" w:rsidRDefault="00413F6E" w:rsidP="00413F6E">
      <w:pPr>
        <w:spacing w:after="0"/>
        <w:ind w:right="-432"/>
        <w:rPr>
          <w:rFonts w:ascii="Arial" w:hAnsi="Arial" w:cs="Arial"/>
          <w:b/>
          <w:bCs/>
          <w:sz w:val="20"/>
          <w:szCs w:val="20"/>
        </w:rPr>
      </w:pPr>
    </w:p>
    <w:p w14:paraId="6ED3D085" w14:textId="33727792" w:rsidR="000722A8" w:rsidRDefault="005C0FDA" w:rsidP="00B43C29">
      <w:pPr>
        <w:ind w:right="-432"/>
        <w:rPr>
          <w:rFonts w:ascii="Arial" w:hAnsi="Arial" w:cs="Arial"/>
          <w:sz w:val="20"/>
          <w:szCs w:val="20"/>
        </w:rPr>
      </w:pPr>
      <w:r w:rsidRPr="006858AD">
        <w:rPr>
          <w:rFonts w:ascii="Arial" w:hAnsi="Arial" w:cs="Arial"/>
          <w:color w:val="FF40FF"/>
          <w:sz w:val="20"/>
          <w:szCs w:val="20"/>
        </w:rPr>
        <w:t>[</w:t>
      </w:r>
      <w:r w:rsidR="00D20B10" w:rsidRPr="006858AD">
        <w:rPr>
          <w:rFonts w:ascii="Arial" w:hAnsi="Arial" w:cs="Arial"/>
          <w:color w:val="FF40FF"/>
          <w:sz w:val="20"/>
          <w:szCs w:val="20"/>
        </w:rPr>
        <w:t xml:space="preserve">Patient </w:t>
      </w:r>
      <w:r w:rsidR="00AB70E3" w:rsidRPr="006858AD">
        <w:rPr>
          <w:rFonts w:ascii="Arial" w:hAnsi="Arial" w:cs="Arial"/>
          <w:color w:val="FF40FF"/>
          <w:sz w:val="20"/>
          <w:szCs w:val="20"/>
        </w:rPr>
        <w:t>N</w:t>
      </w:r>
      <w:r w:rsidR="00D20B10" w:rsidRPr="006858AD">
        <w:rPr>
          <w:rFonts w:ascii="Arial" w:hAnsi="Arial" w:cs="Arial"/>
          <w:color w:val="FF40FF"/>
          <w:sz w:val="20"/>
          <w:szCs w:val="20"/>
        </w:rPr>
        <w:t>ame</w:t>
      </w:r>
      <w:r w:rsidRPr="006858AD">
        <w:rPr>
          <w:rFonts w:ascii="Arial" w:hAnsi="Arial" w:cs="Arial"/>
          <w:color w:val="FF40FF"/>
          <w:sz w:val="20"/>
          <w:szCs w:val="20"/>
        </w:rPr>
        <w:t xml:space="preserve">] </w:t>
      </w:r>
      <w:r w:rsidR="00766A5F">
        <w:rPr>
          <w:rFonts w:ascii="Arial" w:hAnsi="Arial" w:cs="Arial"/>
          <w:sz w:val="20"/>
          <w:szCs w:val="20"/>
        </w:rPr>
        <w:t>has been</w:t>
      </w:r>
      <w:r w:rsidR="00413F6E" w:rsidRPr="006858AD">
        <w:rPr>
          <w:rFonts w:ascii="Arial" w:hAnsi="Arial" w:cs="Arial"/>
          <w:sz w:val="20"/>
          <w:szCs w:val="20"/>
        </w:rPr>
        <w:t xml:space="preserve"> diagnosed with</w:t>
      </w:r>
      <w:r w:rsidR="00766A5F">
        <w:rPr>
          <w:rFonts w:ascii="Arial" w:hAnsi="Arial" w:cs="Arial"/>
          <w:sz w:val="20"/>
          <w:szCs w:val="20"/>
        </w:rPr>
        <w:t xml:space="preserve"> chronic gout.</w:t>
      </w:r>
      <w:r w:rsidR="00413F6E" w:rsidRPr="006858AD">
        <w:rPr>
          <w:rFonts w:ascii="Arial" w:hAnsi="Arial" w:cs="Arial"/>
          <w:sz w:val="20"/>
          <w:szCs w:val="20"/>
        </w:rPr>
        <w:t xml:space="preserve"> </w:t>
      </w:r>
      <w:r w:rsidR="000722A8">
        <w:rPr>
          <w:rFonts w:ascii="Arial" w:hAnsi="Arial" w:cs="Arial"/>
          <w:sz w:val="20"/>
          <w:szCs w:val="20"/>
        </w:rPr>
        <w:t xml:space="preserve">I have prescribed </w:t>
      </w:r>
      <w:r w:rsidR="000722A8" w:rsidRPr="006858AD">
        <w:rPr>
          <w:rFonts w:ascii="Arial" w:hAnsi="Arial" w:cs="Arial"/>
          <w:color w:val="000000" w:themeColor="text1"/>
          <w:sz w:val="20"/>
          <w:szCs w:val="20"/>
        </w:rPr>
        <w:t>KRYSTEXXA</w:t>
      </w:r>
      <w:r w:rsidR="000722A8" w:rsidRPr="006858AD">
        <w:rPr>
          <w:rFonts w:ascii="Arial" w:hAnsi="Arial" w:cs="Arial"/>
          <w:color w:val="000000" w:themeColor="text1"/>
          <w:sz w:val="20"/>
          <w:szCs w:val="20"/>
          <w:vertAlign w:val="superscript"/>
        </w:rPr>
        <w:t>®</w:t>
      </w:r>
      <w:r w:rsidR="000722A8" w:rsidRPr="006858AD">
        <w:rPr>
          <w:rFonts w:ascii="Arial" w:hAnsi="Arial" w:cs="Arial"/>
          <w:color w:val="000000" w:themeColor="text1"/>
          <w:sz w:val="20"/>
          <w:szCs w:val="20"/>
        </w:rPr>
        <w:t xml:space="preserve"> (pegloticase)</w:t>
      </w:r>
      <w:r w:rsidR="000722A8">
        <w:rPr>
          <w:rFonts w:ascii="Arial" w:hAnsi="Arial" w:cs="Arial"/>
          <w:color w:val="000000" w:themeColor="text1"/>
          <w:sz w:val="20"/>
          <w:szCs w:val="20"/>
        </w:rPr>
        <w:t>, a tr</w:t>
      </w:r>
      <w:r w:rsidR="000722A8" w:rsidRPr="006858AD">
        <w:rPr>
          <w:rFonts w:ascii="Arial" w:hAnsi="Arial" w:cs="Arial"/>
          <w:color w:val="000000" w:themeColor="text1"/>
          <w:sz w:val="20"/>
          <w:szCs w:val="20"/>
        </w:rPr>
        <w:t xml:space="preserve">eatment </w:t>
      </w:r>
      <w:r w:rsidR="000722A8">
        <w:rPr>
          <w:rFonts w:ascii="Arial" w:hAnsi="Arial" w:cs="Arial"/>
          <w:color w:val="000000" w:themeColor="text1"/>
          <w:sz w:val="20"/>
          <w:szCs w:val="20"/>
        </w:rPr>
        <w:t>for</w:t>
      </w:r>
      <w:r w:rsidR="000722A8" w:rsidRPr="006858AD">
        <w:rPr>
          <w:rFonts w:ascii="Arial" w:hAnsi="Arial" w:cs="Arial"/>
          <w:color w:val="000000" w:themeColor="text1"/>
          <w:sz w:val="20"/>
          <w:szCs w:val="20"/>
        </w:rPr>
        <w:t xml:space="preserve"> chronic gout in adult patients refractory to conventional therapy</w:t>
      </w:r>
      <w:r w:rsidR="000722A8">
        <w:rPr>
          <w:rFonts w:ascii="Arial" w:hAnsi="Arial" w:cs="Arial"/>
          <w:color w:val="000000" w:themeColor="text1"/>
          <w:sz w:val="20"/>
          <w:szCs w:val="20"/>
        </w:rPr>
        <w:t>.</w:t>
      </w:r>
      <w:r w:rsidR="000722A8" w:rsidRPr="006858AD">
        <w:rPr>
          <w:rFonts w:ascii="Arial" w:hAnsi="Arial" w:cs="Arial"/>
          <w:color w:val="000000" w:themeColor="text1"/>
          <w:sz w:val="20"/>
          <w:szCs w:val="20"/>
          <w:vertAlign w:val="superscript"/>
        </w:rPr>
        <w:t>1</w:t>
      </w:r>
    </w:p>
    <w:p w14:paraId="1244625E" w14:textId="096B257B" w:rsidR="00905ECB" w:rsidRDefault="000B698C" w:rsidP="00D057F1">
      <w:pPr>
        <w:ind w:right="-432"/>
      </w:pPr>
      <w:r w:rsidRPr="006858AD">
        <w:rPr>
          <w:rFonts w:ascii="Arial" w:hAnsi="Arial" w:cs="Arial"/>
          <w:sz w:val="20"/>
          <w:szCs w:val="20"/>
        </w:rPr>
        <w:t>T</w:t>
      </w:r>
      <w:r w:rsidR="00A65649" w:rsidRPr="006858AD">
        <w:rPr>
          <w:rFonts w:ascii="Arial" w:hAnsi="Arial" w:cs="Arial"/>
          <w:sz w:val="20"/>
          <w:szCs w:val="20"/>
        </w:rPr>
        <w:t xml:space="preserve">his patient’s </w:t>
      </w:r>
      <w:r w:rsidR="005B45A2" w:rsidRPr="006858AD">
        <w:rPr>
          <w:rFonts w:ascii="Arial" w:hAnsi="Arial" w:cs="Arial"/>
          <w:sz w:val="20"/>
          <w:szCs w:val="20"/>
        </w:rPr>
        <w:t xml:space="preserve">case of gout </w:t>
      </w:r>
      <w:r w:rsidRPr="006858AD">
        <w:rPr>
          <w:rFonts w:ascii="Arial" w:hAnsi="Arial" w:cs="Arial"/>
          <w:sz w:val="20"/>
          <w:szCs w:val="20"/>
        </w:rPr>
        <w:t>appears to be</w:t>
      </w:r>
      <w:r w:rsidR="005B45A2" w:rsidRPr="006858AD">
        <w:rPr>
          <w:rFonts w:ascii="Arial" w:hAnsi="Arial" w:cs="Arial"/>
          <w:sz w:val="20"/>
          <w:szCs w:val="20"/>
        </w:rPr>
        <w:t xml:space="preserve"> </w:t>
      </w:r>
      <w:r w:rsidR="008F7502" w:rsidRPr="006858AD">
        <w:rPr>
          <w:rFonts w:ascii="Arial" w:hAnsi="Arial" w:cs="Arial"/>
          <w:sz w:val="20"/>
          <w:szCs w:val="20"/>
        </w:rPr>
        <w:t xml:space="preserve">refractory to conventional therapy </w:t>
      </w:r>
      <w:r w:rsidR="00862DAA" w:rsidRPr="006858AD">
        <w:rPr>
          <w:rFonts w:ascii="Arial" w:hAnsi="Arial" w:cs="Arial"/>
          <w:sz w:val="20"/>
          <w:szCs w:val="20"/>
        </w:rPr>
        <w:t xml:space="preserve">because </w:t>
      </w:r>
      <w:r w:rsidR="00862DAA" w:rsidRPr="006858AD">
        <w:rPr>
          <w:rFonts w:ascii="Arial" w:hAnsi="Arial" w:cs="Arial"/>
          <w:color w:val="FF40FF"/>
          <w:sz w:val="20"/>
          <w:szCs w:val="20"/>
        </w:rPr>
        <w:t xml:space="preserve">[describe </w:t>
      </w:r>
      <w:r w:rsidR="003F4EB2" w:rsidRPr="006858AD">
        <w:rPr>
          <w:rFonts w:ascii="Arial" w:hAnsi="Arial" w:cs="Arial"/>
          <w:color w:val="FF40FF"/>
          <w:sz w:val="20"/>
          <w:szCs w:val="20"/>
        </w:rPr>
        <w:t>serum uric acid (</w:t>
      </w:r>
      <w:r w:rsidR="007C48A0" w:rsidRPr="006858AD">
        <w:rPr>
          <w:rFonts w:ascii="Arial" w:hAnsi="Arial" w:cs="Arial"/>
          <w:color w:val="FF40FF"/>
          <w:sz w:val="20"/>
          <w:szCs w:val="20"/>
        </w:rPr>
        <w:t>sUA</w:t>
      </w:r>
      <w:r w:rsidR="003F4EB2" w:rsidRPr="006858AD">
        <w:rPr>
          <w:rFonts w:ascii="Arial" w:hAnsi="Arial" w:cs="Arial"/>
          <w:color w:val="FF40FF"/>
          <w:sz w:val="20"/>
          <w:szCs w:val="20"/>
        </w:rPr>
        <w:t>)</w:t>
      </w:r>
      <w:r w:rsidR="007C48A0" w:rsidRPr="006858AD">
        <w:rPr>
          <w:rFonts w:ascii="Arial" w:hAnsi="Arial" w:cs="Arial"/>
          <w:color w:val="FF40FF"/>
          <w:sz w:val="20"/>
          <w:szCs w:val="20"/>
        </w:rPr>
        <w:t xml:space="preserve"> level ≥6</w:t>
      </w:r>
      <w:r w:rsidR="009005EF" w:rsidRPr="006858AD">
        <w:rPr>
          <w:rFonts w:ascii="Arial" w:hAnsi="Arial" w:cs="Arial"/>
          <w:color w:val="FF40FF"/>
          <w:sz w:val="20"/>
          <w:szCs w:val="20"/>
        </w:rPr>
        <w:t xml:space="preserve"> </w:t>
      </w:r>
      <w:r w:rsidR="00CB3E3B" w:rsidRPr="006858AD">
        <w:rPr>
          <w:rFonts w:ascii="Arial" w:hAnsi="Arial" w:cs="Arial"/>
          <w:color w:val="FF40FF"/>
          <w:sz w:val="20"/>
          <w:szCs w:val="20"/>
        </w:rPr>
        <w:t xml:space="preserve">mg/dL </w:t>
      </w:r>
      <w:r w:rsidR="00531A73" w:rsidRPr="006858AD">
        <w:rPr>
          <w:rFonts w:ascii="Arial" w:hAnsi="Arial" w:cs="Arial"/>
          <w:color w:val="FF40FF"/>
          <w:sz w:val="20"/>
          <w:szCs w:val="20"/>
        </w:rPr>
        <w:t>and gout symptoms despite treatment with one or more oral urate-lowering therapies (ULTs) ≥3 months or sUA level ≥6 mg/dL with contraindications or hypersensitivities to one or more oral ULTs</w:t>
      </w:r>
      <w:r w:rsidR="00531A73" w:rsidRPr="00AF7A20">
        <w:rPr>
          <w:rFonts w:ascii="Arial" w:hAnsi="Arial" w:cs="Arial"/>
          <w:color w:val="FF40FF"/>
          <w:sz w:val="20"/>
          <w:szCs w:val="20"/>
        </w:rPr>
        <w:t>.</w:t>
      </w:r>
      <w:r w:rsidR="00766A5F" w:rsidRPr="00AF7A20">
        <w:rPr>
          <w:rFonts w:ascii="Arial" w:hAnsi="Arial" w:cs="Arial"/>
          <w:color w:val="FF40FF"/>
          <w:sz w:val="20"/>
          <w:szCs w:val="20"/>
        </w:rPr>
        <w:t>]</w:t>
      </w:r>
      <w:r w:rsidR="00371B12" w:rsidRPr="00AF7A20">
        <w:rPr>
          <w:rFonts w:ascii="Arial" w:hAnsi="Arial" w:cs="Arial"/>
          <w:color w:val="FF40FF"/>
          <w:sz w:val="20"/>
          <w:szCs w:val="20"/>
        </w:rPr>
        <w:t xml:space="preserve"> </w:t>
      </w:r>
      <w:r w:rsidR="00EB499C" w:rsidRPr="00AF7A20">
        <w:rPr>
          <w:rFonts w:ascii="Arial" w:hAnsi="Arial" w:cs="Arial"/>
          <w:color w:val="FF40FF"/>
          <w:sz w:val="20"/>
          <w:szCs w:val="20"/>
        </w:rPr>
        <w:t>[Patient Name]</w:t>
      </w:r>
      <w:r w:rsidR="000459FB" w:rsidRPr="00AF7A20">
        <w:rPr>
          <w:rFonts w:ascii="Arial" w:hAnsi="Arial" w:cs="Arial"/>
          <w:color w:val="FF40FF"/>
          <w:sz w:val="20"/>
          <w:szCs w:val="20"/>
        </w:rPr>
        <w:t xml:space="preserve"> </w:t>
      </w:r>
      <w:r w:rsidR="000459FB" w:rsidRPr="000459FB">
        <w:rPr>
          <w:rFonts w:ascii="Arial" w:hAnsi="Arial" w:cs="Arial"/>
          <w:sz w:val="20"/>
          <w:szCs w:val="20"/>
        </w:rPr>
        <w:t xml:space="preserve">has also experienced </w:t>
      </w:r>
      <w:r w:rsidR="000459FB">
        <w:rPr>
          <w:rFonts w:ascii="Arial" w:hAnsi="Arial" w:cs="Arial"/>
          <w:color w:val="FF40FF"/>
          <w:sz w:val="20"/>
          <w:szCs w:val="20"/>
        </w:rPr>
        <w:t>[describe g</w:t>
      </w:r>
      <w:r w:rsidR="000459FB" w:rsidRPr="000459FB">
        <w:rPr>
          <w:rFonts w:ascii="Arial" w:hAnsi="Arial" w:cs="Arial"/>
          <w:color w:val="FF40FF"/>
          <w:sz w:val="20"/>
          <w:szCs w:val="20"/>
        </w:rPr>
        <w:t>out flare frequency and severity</w:t>
      </w:r>
      <w:r w:rsidR="000459FB">
        <w:rPr>
          <w:rFonts w:ascii="Arial" w:hAnsi="Arial" w:cs="Arial"/>
          <w:color w:val="FF40FF"/>
          <w:sz w:val="20"/>
          <w:szCs w:val="20"/>
        </w:rPr>
        <w:t>]</w:t>
      </w:r>
      <w:r w:rsidR="000459FB" w:rsidRPr="000459FB">
        <w:rPr>
          <w:rFonts w:ascii="Arial" w:hAnsi="Arial" w:cs="Arial"/>
          <w:sz w:val="20"/>
          <w:szCs w:val="20"/>
        </w:rPr>
        <w:t>.</w:t>
      </w:r>
    </w:p>
    <w:p w14:paraId="1533BA79" w14:textId="3F9CA124" w:rsidR="00C50065" w:rsidRPr="006858AD" w:rsidRDefault="007E2F0E" w:rsidP="00621DD2">
      <w:pPr>
        <w:pStyle w:val="BasicParagraph"/>
        <w:suppressAutoHyphens/>
        <w:rPr>
          <w:rFonts w:ascii="Arial" w:hAnsi="Arial" w:cs="Arial"/>
          <w:color w:val="000000" w:themeColor="text1"/>
          <w:sz w:val="20"/>
          <w:szCs w:val="20"/>
        </w:rPr>
      </w:pPr>
      <w:r w:rsidRPr="006858AD">
        <w:rPr>
          <w:rFonts w:ascii="Arial" w:hAnsi="Arial" w:cs="Arial"/>
          <w:color w:val="000000" w:themeColor="text1"/>
          <w:sz w:val="20"/>
          <w:szCs w:val="20"/>
        </w:rPr>
        <w:t xml:space="preserve">Please refer to the enclosed </w:t>
      </w:r>
      <w:r w:rsidRPr="006858AD">
        <w:rPr>
          <w:rFonts w:ascii="Arial" w:hAnsi="Arial" w:cs="Arial"/>
          <w:color w:val="FF40FF"/>
          <w:sz w:val="20"/>
          <w:szCs w:val="20"/>
        </w:rPr>
        <w:t xml:space="preserve">[describe types of documents to be attached to this letter] </w:t>
      </w:r>
      <w:r w:rsidRPr="006858AD">
        <w:rPr>
          <w:rFonts w:ascii="Arial" w:hAnsi="Arial" w:cs="Arial"/>
          <w:color w:val="000000" w:themeColor="text1"/>
          <w:sz w:val="20"/>
          <w:szCs w:val="20"/>
        </w:rPr>
        <w:t xml:space="preserve">that support </w:t>
      </w:r>
      <w:r w:rsidR="00414563">
        <w:rPr>
          <w:rFonts w:ascii="Arial" w:hAnsi="Arial" w:cs="Arial"/>
          <w:color w:val="000000" w:themeColor="text1"/>
          <w:sz w:val="20"/>
          <w:szCs w:val="20"/>
        </w:rPr>
        <w:t>approval of</w:t>
      </w:r>
      <w:r w:rsidRPr="006858AD">
        <w:rPr>
          <w:rFonts w:ascii="Arial" w:hAnsi="Arial" w:cs="Arial"/>
          <w:color w:val="000000" w:themeColor="text1"/>
          <w:sz w:val="20"/>
          <w:szCs w:val="20"/>
        </w:rPr>
        <w:t xml:space="preserve"> KRYSTEXXA </w:t>
      </w:r>
      <w:r w:rsidR="00414563" w:rsidRPr="00414563">
        <w:rPr>
          <w:rFonts w:ascii="Arial" w:hAnsi="Arial" w:cs="Arial"/>
          <w:color w:val="auto"/>
          <w:sz w:val="20"/>
          <w:szCs w:val="20"/>
        </w:rPr>
        <w:t xml:space="preserve">for </w:t>
      </w:r>
      <w:r w:rsidR="00414563">
        <w:rPr>
          <w:rFonts w:ascii="Arial" w:hAnsi="Arial" w:cs="Arial"/>
          <w:color w:val="FF40FF"/>
          <w:sz w:val="20"/>
          <w:szCs w:val="20"/>
        </w:rPr>
        <w:t>[treatment duration]</w:t>
      </w:r>
      <w:r w:rsidRPr="006858AD">
        <w:rPr>
          <w:rFonts w:ascii="Arial" w:hAnsi="Arial" w:cs="Arial"/>
          <w:color w:val="000000" w:themeColor="text1"/>
          <w:sz w:val="20"/>
          <w:szCs w:val="20"/>
        </w:rPr>
        <w:t xml:space="preserve">. </w:t>
      </w:r>
      <w:r w:rsidR="00766A5F">
        <w:rPr>
          <w:rFonts w:ascii="Arial" w:hAnsi="Arial" w:cs="Arial"/>
          <w:color w:val="000000" w:themeColor="text1"/>
          <w:sz w:val="20"/>
          <w:szCs w:val="20"/>
        </w:rPr>
        <w:t xml:space="preserve">With approval, </w:t>
      </w:r>
      <w:r w:rsidR="00766A5F" w:rsidRPr="004426E4">
        <w:rPr>
          <w:rFonts w:ascii="Arial" w:hAnsi="Arial" w:cs="Arial"/>
          <w:color w:val="FF40FF"/>
          <w:sz w:val="20"/>
          <w:szCs w:val="20"/>
        </w:rPr>
        <w:t xml:space="preserve">[Patient Name] </w:t>
      </w:r>
      <w:r w:rsidR="00766A5F">
        <w:rPr>
          <w:rFonts w:ascii="Arial" w:hAnsi="Arial" w:cs="Arial"/>
          <w:color w:val="000000" w:themeColor="text1"/>
          <w:sz w:val="20"/>
          <w:szCs w:val="20"/>
        </w:rPr>
        <w:t xml:space="preserve">will have serum uric acid levels monitored prior to each infusion. </w:t>
      </w:r>
      <w:r w:rsidR="006E2238" w:rsidRPr="006858AD">
        <w:rPr>
          <w:rFonts w:ascii="Arial" w:hAnsi="Arial" w:cs="Arial"/>
          <w:color w:val="000000" w:themeColor="text1"/>
          <w:sz w:val="20"/>
          <w:szCs w:val="20"/>
        </w:rPr>
        <w:t>If you have any questions, p</w:t>
      </w:r>
      <w:r w:rsidR="00C50065" w:rsidRPr="006858AD">
        <w:rPr>
          <w:rFonts w:ascii="Arial" w:hAnsi="Arial" w:cs="Arial"/>
          <w:color w:val="000000" w:themeColor="text1"/>
          <w:sz w:val="20"/>
          <w:szCs w:val="20"/>
        </w:rPr>
        <w:t xml:space="preserve">lease </w:t>
      </w:r>
      <w:r w:rsidR="00166BEE" w:rsidRPr="006858AD">
        <w:rPr>
          <w:rFonts w:ascii="Arial" w:hAnsi="Arial" w:cs="Arial"/>
          <w:color w:val="000000" w:themeColor="text1"/>
          <w:sz w:val="20"/>
          <w:szCs w:val="20"/>
        </w:rPr>
        <w:t>call me at</w:t>
      </w:r>
      <w:r w:rsidR="00C50065" w:rsidRPr="006858AD">
        <w:rPr>
          <w:rFonts w:ascii="Arial" w:hAnsi="Arial" w:cs="Arial"/>
          <w:color w:val="000000" w:themeColor="text1"/>
          <w:sz w:val="20"/>
          <w:szCs w:val="20"/>
        </w:rPr>
        <w:t xml:space="preserve"> </w:t>
      </w:r>
      <w:r w:rsidR="00C50065" w:rsidRPr="006858AD">
        <w:rPr>
          <w:rFonts w:ascii="Arial" w:hAnsi="Arial" w:cs="Arial"/>
          <w:color w:val="FF40FF"/>
          <w:sz w:val="20"/>
          <w:szCs w:val="20"/>
        </w:rPr>
        <w:t>[</w:t>
      </w:r>
      <w:r w:rsidR="00166BEE" w:rsidRPr="006858AD">
        <w:rPr>
          <w:rFonts w:ascii="Arial" w:hAnsi="Arial" w:cs="Arial"/>
          <w:color w:val="FF40FF"/>
          <w:sz w:val="20"/>
          <w:szCs w:val="20"/>
        </w:rPr>
        <w:t>provider telephone number</w:t>
      </w:r>
      <w:r w:rsidR="00C50065" w:rsidRPr="006858AD">
        <w:rPr>
          <w:rFonts w:ascii="Arial" w:hAnsi="Arial" w:cs="Arial"/>
          <w:color w:val="FF40FF"/>
          <w:sz w:val="20"/>
          <w:szCs w:val="20"/>
        </w:rPr>
        <w:t>]</w:t>
      </w:r>
      <w:r w:rsidR="006E2238" w:rsidRPr="006858AD">
        <w:rPr>
          <w:rFonts w:ascii="Arial" w:hAnsi="Arial" w:cs="Arial"/>
          <w:color w:val="000000" w:themeColor="text1"/>
          <w:sz w:val="20"/>
          <w:szCs w:val="20"/>
        </w:rPr>
        <w:t>.</w:t>
      </w:r>
    </w:p>
    <w:p w14:paraId="5D4AD08A" w14:textId="77777777" w:rsidR="00621DD2" w:rsidRPr="006858AD" w:rsidRDefault="00621DD2" w:rsidP="00982C08">
      <w:pPr>
        <w:pStyle w:val="BasicParagraph"/>
        <w:suppressAutoHyphens/>
        <w:rPr>
          <w:rFonts w:ascii="Arial" w:hAnsi="Arial" w:cs="Arial"/>
          <w:color w:val="000000" w:themeColor="text1"/>
          <w:sz w:val="20"/>
          <w:szCs w:val="20"/>
        </w:rPr>
      </w:pPr>
    </w:p>
    <w:p w14:paraId="333BAE05" w14:textId="77777777" w:rsidR="005822A9" w:rsidRPr="006858AD" w:rsidRDefault="005822A9" w:rsidP="00982C08">
      <w:pPr>
        <w:pStyle w:val="BasicParagraph"/>
        <w:suppressAutoHyphens/>
        <w:rPr>
          <w:rFonts w:ascii="Arial" w:hAnsi="Arial" w:cs="Arial"/>
          <w:color w:val="000000" w:themeColor="text1"/>
          <w:sz w:val="20"/>
          <w:szCs w:val="20"/>
        </w:rPr>
      </w:pPr>
      <w:r w:rsidRPr="006858AD">
        <w:rPr>
          <w:rFonts w:ascii="Arial" w:hAnsi="Arial" w:cs="Arial"/>
          <w:color w:val="000000" w:themeColor="text1"/>
          <w:sz w:val="20"/>
          <w:szCs w:val="20"/>
        </w:rPr>
        <w:t>Sincerely,</w:t>
      </w:r>
    </w:p>
    <w:p w14:paraId="0FB96AB9" w14:textId="5A3D8332" w:rsidR="0097469E" w:rsidRPr="006858AD" w:rsidRDefault="005822A9" w:rsidP="009D45E3">
      <w:pPr>
        <w:pStyle w:val="BasicParagraph"/>
        <w:suppressAutoHyphens/>
        <w:rPr>
          <w:rFonts w:ascii="Arial" w:hAnsi="Arial" w:cs="Arial"/>
          <w:color w:val="FF40FF"/>
          <w:sz w:val="20"/>
          <w:szCs w:val="20"/>
        </w:rPr>
      </w:pPr>
      <w:r w:rsidRPr="006858AD">
        <w:rPr>
          <w:rFonts w:ascii="Arial" w:hAnsi="Arial" w:cs="Arial"/>
          <w:color w:val="FF40FF"/>
          <w:sz w:val="20"/>
          <w:szCs w:val="20"/>
        </w:rPr>
        <w:t>[</w:t>
      </w:r>
      <w:r w:rsidR="00012E03" w:rsidRPr="006858AD">
        <w:rPr>
          <w:rFonts w:ascii="Arial" w:hAnsi="Arial" w:cs="Arial"/>
          <w:color w:val="FF40FF"/>
          <w:sz w:val="20"/>
          <w:szCs w:val="20"/>
        </w:rPr>
        <w:t>Provider</w:t>
      </w:r>
      <w:r w:rsidR="009B367D" w:rsidRPr="006858AD">
        <w:rPr>
          <w:rFonts w:ascii="Arial" w:hAnsi="Arial" w:cs="Arial"/>
          <w:color w:val="FF40FF"/>
          <w:sz w:val="20"/>
          <w:szCs w:val="20"/>
        </w:rPr>
        <w:t xml:space="preserve"> </w:t>
      </w:r>
      <w:r w:rsidR="00411127" w:rsidRPr="006858AD">
        <w:rPr>
          <w:rFonts w:ascii="Arial" w:hAnsi="Arial" w:cs="Arial"/>
          <w:color w:val="FF40FF"/>
          <w:sz w:val="20"/>
          <w:szCs w:val="20"/>
        </w:rPr>
        <w:t>N</w:t>
      </w:r>
      <w:r w:rsidR="009B367D" w:rsidRPr="006858AD">
        <w:rPr>
          <w:rFonts w:ascii="Arial" w:hAnsi="Arial" w:cs="Arial"/>
          <w:color w:val="FF40FF"/>
          <w:sz w:val="20"/>
          <w:szCs w:val="20"/>
        </w:rPr>
        <w:t>ame</w:t>
      </w:r>
      <w:r w:rsidR="00C26D5A" w:rsidRPr="006858AD">
        <w:rPr>
          <w:rFonts w:ascii="Arial" w:hAnsi="Arial" w:cs="Arial"/>
          <w:color w:val="FF40FF"/>
          <w:sz w:val="20"/>
          <w:szCs w:val="20"/>
        </w:rPr>
        <w:t xml:space="preserve"> and </w:t>
      </w:r>
      <w:r w:rsidR="000D4EA7" w:rsidRPr="006858AD">
        <w:rPr>
          <w:rFonts w:ascii="Arial" w:hAnsi="Arial" w:cs="Arial"/>
          <w:color w:val="FF40FF"/>
          <w:sz w:val="20"/>
          <w:szCs w:val="20"/>
        </w:rPr>
        <w:t>credentials</w:t>
      </w:r>
      <w:r w:rsidRPr="006858AD">
        <w:rPr>
          <w:rFonts w:ascii="Arial" w:hAnsi="Arial" w:cs="Arial"/>
          <w:color w:val="FF40FF"/>
          <w:sz w:val="20"/>
          <w:szCs w:val="20"/>
        </w:rPr>
        <w:t>]</w:t>
      </w:r>
    </w:p>
    <w:p w14:paraId="1FE01411" w14:textId="3950F394" w:rsidR="002E5F9E" w:rsidRPr="006858AD" w:rsidRDefault="000C7D0B" w:rsidP="009D45E3">
      <w:pPr>
        <w:pStyle w:val="BasicParagraph"/>
        <w:suppressAutoHyphens/>
        <w:rPr>
          <w:rFonts w:ascii="Arial" w:hAnsi="Arial" w:cs="Arial"/>
          <w:color w:val="FF40FF"/>
          <w:sz w:val="20"/>
          <w:szCs w:val="20"/>
        </w:rPr>
      </w:pPr>
      <w:r w:rsidRPr="006858AD">
        <w:rPr>
          <w:rFonts w:ascii="Arial" w:hAnsi="Arial" w:cs="Arial"/>
          <w:color w:val="FF40FF"/>
          <w:sz w:val="20"/>
          <w:szCs w:val="20"/>
        </w:rPr>
        <w:t>[</w:t>
      </w:r>
      <w:r w:rsidR="00012E03" w:rsidRPr="006858AD">
        <w:rPr>
          <w:rFonts w:ascii="Arial" w:hAnsi="Arial" w:cs="Arial"/>
          <w:color w:val="FF40FF"/>
          <w:sz w:val="20"/>
          <w:szCs w:val="20"/>
        </w:rPr>
        <w:t>Provider m</w:t>
      </w:r>
      <w:r w:rsidR="002E5F9E" w:rsidRPr="006858AD">
        <w:rPr>
          <w:rFonts w:ascii="Arial" w:hAnsi="Arial" w:cs="Arial"/>
          <w:color w:val="FF40FF"/>
          <w:sz w:val="20"/>
          <w:szCs w:val="20"/>
        </w:rPr>
        <w:t xml:space="preserve">edical </w:t>
      </w:r>
      <w:r w:rsidR="00012E03" w:rsidRPr="006858AD">
        <w:rPr>
          <w:rFonts w:ascii="Arial" w:hAnsi="Arial" w:cs="Arial"/>
          <w:color w:val="FF40FF"/>
          <w:sz w:val="20"/>
          <w:szCs w:val="20"/>
        </w:rPr>
        <w:t>s</w:t>
      </w:r>
      <w:r w:rsidR="002E5F9E" w:rsidRPr="006858AD">
        <w:rPr>
          <w:rFonts w:ascii="Arial" w:hAnsi="Arial" w:cs="Arial"/>
          <w:color w:val="FF40FF"/>
          <w:sz w:val="20"/>
          <w:szCs w:val="20"/>
        </w:rPr>
        <w:t>pecialty]</w:t>
      </w:r>
    </w:p>
    <w:p w14:paraId="28D29EF4" w14:textId="24A68E54" w:rsidR="002E5F9E" w:rsidRPr="006858AD" w:rsidRDefault="000C7D0B" w:rsidP="009D45E3">
      <w:pPr>
        <w:pStyle w:val="BasicParagraph"/>
        <w:suppressAutoHyphens/>
        <w:rPr>
          <w:rFonts w:ascii="Arial" w:hAnsi="Arial" w:cs="Arial"/>
          <w:color w:val="FF40FF"/>
          <w:sz w:val="20"/>
          <w:szCs w:val="20"/>
        </w:rPr>
      </w:pPr>
      <w:r w:rsidRPr="006858AD">
        <w:rPr>
          <w:rFonts w:ascii="Arial" w:hAnsi="Arial" w:cs="Arial"/>
          <w:color w:val="FF40FF"/>
          <w:sz w:val="20"/>
          <w:szCs w:val="20"/>
        </w:rPr>
        <w:t>[</w:t>
      </w:r>
      <w:r w:rsidR="00012E03" w:rsidRPr="006858AD">
        <w:rPr>
          <w:rFonts w:ascii="Arial" w:hAnsi="Arial" w:cs="Arial"/>
          <w:color w:val="FF40FF"/>
          <w:sz w:val="20"/>
          <w:szCs w:val="20"/>
        </w:rPr>
        <w:t>Provider</w:t>
      </w:r>
      <w:r w:rsidR="0093003C" w:rsidRPr="006858AD">
        <w:rPr>
          <w:rFonts w:ascii="Arial" w:hAnsi="Arial" w:cs="Arial"/>
          <w:color w:val="FF40FF"/>
          <w:sz w:val="20"/>
          <w:szCs w:val="20"/>
        </w:rPr>
        <w:t xml:space="preserve"> NPI]</w:t>
      </w:r>
    </w:p>
    <w:p w14:paraId="13B695E5" w14:textId="77777777" w:rsidR="0093003C" w:rsidRPr="006858AD" w:rsidRDefault="0093003C" w:rsidP="009D45E3">
      <w:pPr>
        <w:pStyle w:val="BasicParagraph"/>
        <w:suppressAutoHyphens/>
        <w:rPr>
          <w:rFonts w:ascii="Arial" w:hAnsi="Arial" w:cs="Arial"/>
          <w:color w:val="FF0066"/>
          <w:sz w:val="20"/>
          <w:szCs w:val="20"/>
        </w:rPr>
      </w:pPr>
    </w:p>
    <w:p w14:paraId="7AA8A6D2" w14:textId="77777777" w:rsidR="00411127" w:rsidRPr="006858AD" w:rsidRDefault="00285F0B" w:rsidP="00285F0B">
      <w:pPr>
        <w:pStyle w:val="Default"/>
        <w:rPr>
          <w:rFonts w:ascii="Arial" w:hAnsi="Arial" w:cs="Arial"/>
          <w:b/>
          <w:bCs/>
          <w:sz w:val="20"/>
          <w:szCs w:val="20"/>
        </w:rPr>
      </w:pPr>
      <w:r w:rsidRPr="006858AD">
        <w:rPr>
          <w:rFonts w:ascii="Arial" w:hAnsi="Arial" w:cs="Arial"/>
          <w:b/>
          <w:bCs/>
          <w:sz w:val="20"/>
          <w:szCs w:val="20"/>
        </w:rPr>
        <w:t xml:space="preserve">Reference: </w:t>
      </w:r>
    </w:p>
    <w:p w14:paraId="71A1C2F6" w14:textId="04DF03FD" w:rsidR="00285F0B" w:rsidRPr="006858AD" w:rsidRDefault="00285F0B" w:rsidP="00285F0B">
      <w:pPr>
        <w:pStyle w:val="Default"/>
        <w:rPr>
          <w:rFonts w:ascii="Arial" w:hAnsi="Arial" w:cs="Arial"/>
          <w:sz w:val="20"/>
          <w:szCs w:val="20"/>
        </w:rPr>
      </w:pPr>
      <w:r w:rsidRPr="006858AD">
        <w:rPr>
          <w:rFonts w:ascii="Arial" w:hAnsi="Arial" w:cs="Arial"/>
          <w:b/>
          <w:bCs/>
          <w:sz w:val="20"/>
          <w:szCs w:val="20"/>
        </w:rPr>
        <w:t xml:space="preserve">1. </w:t>
      </w:r>
      <w:r w:rsidRPr="006858AD">
        <w:rPr>
          <w:rFonts w:ascii="Arial" w:hAnsi="Arial" w:cs="Arial"/>
          <w:sz w:val="20"/>
          <w:szCs w:val="20"/>
        </w:rPr>
        <w:t>KRYSTEXXA (pegloticase) [prescribing information] Horizon.</w:t>
      </w:r>
    </w:p>
    <w:p w14:paraId="06B93049" w14:textId="77777777" w:rsidR="00285F0B" w:rsidRPr="006858AD" w:rsidRDefault="00285F0B" w:rsidP="00285F0B">
      <w:pPr>
        <w:pStyle w:val="BasicParagraph"/>
        <w:suppressAutoHyphens/>
        <w:ind w:left="720"/>
        <w:rPr>
          <w:rFonts w:ascii="Arial" w:hAnsi="Arial" w:cs="Arial"/>
          <w:color w:val="FF0066"/>
          <w:sz w:val="20"/>
          <w:szCs w:val="20"/>
        </w:rPr>
      </w:pPr>
    </w:p>
    <w:p w14:paraId="6557F37C" w14:textId="77777777" w:rsidR="00012E03" w:rsidRPr="006858AD" w:rsidRDefault="0097469E" w:rsidP="0097469E">
      <w:pPr>
        <w:pStyle w:val="BasicParagraph"/>
        <w:suppressAutoHyphens/>
        <w:rPr>
          <w:rFonts w:ascii="Arial" w:hAnsi="Arial" w:cs="Arial"/>
          <w:b/>
          <w:bCs/>
          <w:color w:val="000000" w:themeColor="text1"/>
          <w:sz w:val="20"/>
          <w:szCs w:val="20"/>
        </w:rPr>
      </w:pPr>
      <w:r w:rsidRPr="006858AD">
        <w:rPr>
          <w:rFonts w:ascii="Arial" w:hAnsi="Arial" w:cs="Arial"/>
          <w:b/>
          <w:bCs/>
          <w:color w:val="000000" w:themeColor="text1"/>
          <w:sz w:val="20"/>
          <w:szCs w:val="20"/>
        </w:rPr>
        <w:t>Enclosures</w:t>
      </w:r>
      <w:r w:rsidR="00A32EED" w:rsidRPr="006858AD">
        <w:rPr>
          <w:rFonts w:ascii="Arial" w:hAnsi="Arial" w:cs="Arial"/>
          <w:b/>
          <w:bCs/>
          <w:color w:val="000000" w:themeColor="text1"/>
          <w:sz w:val="20"/>
          <w:szCs w:val="20"/>
        </w:rPr>
        <w:t>:</w:t>
      </w:r>
      <w:r w:rsidRPr="006858AD">
        <w:rPr>
          <w:rFonts w:ascii="Arial" w:hAnsi="Arial" w:cs="Arial"/>
          <w:b/>
          <w:bCs/>
          <w:color w:val="000000" w:themeColor="text1"/>
          <w:sz w:val="20"/>
          <w:szCs w:val="20"/>
        </w:rPr>
        <w:t xml:space="preserve"> </w:t>
      </w:r>
    </w:p>
    <w:p w14:paraId="736E81A4" w14:textId="1A7B6A22" w:rsidR="00012E03" w:rsidRPr="006858AD" w:rsidRDefault="00012E03" w:rsidP="0097469E">
      <w:pPr>
        <w:pStyle w:val="BasicParagraph"/>
        <w:suppressAutoHyphens/>
        <w:rPr>
          <w:rFonts w:ascii="Arial" w:hAnsi="Arial" w:cs="Arial"/>
          <w:color w:val="000000" w:themeColor="text1"/>
          <w:sz w:val="20"/>
          <w:szCs w:val="20"/>
        </w:rPr>
      </w:pPr>
      <w:r w:rsidRPr="006858AD">
        <w:rPr>
          <w:rFonts w:ascii="Arial" w:hAnsi="Arial" w:cs="Arial"/>
          <w:color w:val="000000" w:themeColor="text1"/>
          <w:sz w:val="20"/>
          <w:szCs w:val="20"/>
        </w:rPr>
        <w:t>Prescribing information for KRYSTEXXA</w:t>
      </w:r>
    </w:p>
    <w:p w14:paraId="1773FB92" w14:textId="7CB2482A" w:rsidR="00012E03" w:rsidRPr="006858AD" w:rsidRDefault="00012E03" w:rsidP="0097469E">
      <w:pPr>
        <w:pStyle w:val="BasicParagraph"/>
        <w:suppressAutoHyphens/>
        <w:rPr>
          <w:rFonts w:ascii="Arial" w:hAnsi="Arial" w:cs="Arial"/>
          <w:color w:val="FF40FF"/>
          <w:sz w:val="20"/>
          <w:szCs w:val="20"/>
        </w:rPr>
      </w:pPr>
      <w:r w:rsidRPr="006858AD">
        <w:rPr>
          <w:rFonts w:ascii="Arial" w:hAnsi="Arial" w:cs="Arial"/>
          <w:color w:val="FF40FF"/>
          <w:sz w:val="20"/>
          <w:szCs w:val="20"/>
        </w:rPr>
        <w:t>[Attach as appropriate:</w:t>
      </w:r>
    </w:p>
    <w:p w14:paraId="3893C629" w14:textId="4D3AABC1" w:rsidR="00012E03" w:rsidRPr="006858AD" w:rsidRDefault="00012E03" w:rsidP="00012E03">
      <w:pPr>
        <w:pStyle w:val="Default"/>
        <w:rPr>
          <w:rFonts w:ascii="Arial" w:hAnsi="Arial" w:cs="Arial"/>
          <w:color w:val="FF40FF"/>
          <w:sz w:val="20"/>
          <w:szCs w:val="20"/>
        </w:rPr>
      </w:pPr>
      <w:r w:rsidRPr="006858AD">
        <w:rPr>
          <w:rFonts w:ascii="Arial" w:hAnsi="Arial" w:cs="Arial"/>
          <w:color w:val="FF40FF"/>
          <w:sz w:val="20"/>
          <w:szCs w:val="20"/>
        </w:rPr>
        <w:t xml:space="preserve">(FDA APPROVAL LETTERS FOR KRYSTEXXA [available at </w:t>
      </w:r>
      <w:r w:rsidR="00F554DF" w:rsidRPr="00F554DF">
        <w:rPr>
          <w:rFonts w:ascii="Arial" w:hAnsi="Arial" w:cs="Arial"/>
          <w:color w:val="FF40FF"/>
          <w:sz w:val="20"/>
          <w:szCs w:val="20"/>
        </w:rPr>
        <w:t>https://www.accessdata.fda.gov/drugsatfda_docs/appletter/2010/125293s000ltr.pdf</w:t>
      </w:r>
      <w:r w:rsidR="00F554DF">
        <w:rPr>
          <w:rFonts w:ascii="Arial" w:hAnsi="Arial" w:cs="Arial"/>
          <w:color w:val="FF40FF"/>
          <w:sz w:val="20"/>
          <w:szCs w:val="20"/>
        </w:rPr>
        <w:t xml:space="preserve"> </w:t>
      </w:r>
      <w:r w:rsidRPr="006858AD">
        <w:rPr>
          <w:rFonts w:ascii="Arial" w:hAnsi="Arial" w:cs="Arial"/>
          <w:color w:val="FF40FF"/>
          <w:sz w:val="20"/>
          <w:szCs w:val="20"/>
        </w:rPr>
        <w:t xml:space="preserve">and </w:t>
      </w:r>
      <w:r w:rsidR="00F554DF" w:rsidRPr="00F554DF">
        <w:rPr>
          <w:rFonts w:ascii="Arial" w:hAnsi="Arial" w:cs="Arial"/>
          <w:color w:val="FF40FF"/>
          <w:sz w:val="20"/>
          <w:szCs w:val="20"/>
        </w:rPr>
        <w:t>https://www.accessdata.fda.gov/drugsatfda_docs/nda/2010/125293Orig1s000ltr.pdf</w:t>
      </w:r>
      <w:r w:rsidRPr="006858AD">
        <w:rPr>
          <w:rFonts w:ascii="Arial" w:hAnsi="Arial" w:cs="Arial"/>
          <w:color w:val="FF40FF"/>
          <w:sz w:val="20"/>
          <w:szCs w:val="20"/>
        </w:rPr>
        <w:t xml:space="preserve">]) </w:t>
      </w:r>
    </w:p>
    <w:p w14:paraId="632593AB" w14:textId="77777777" w:rsidR="00922EA2" w:rsidRDefault="00012E03" w:rsidP="00012E03">
      <w:pPr>
        <w:pStyle w:val="BasicParagraph"/>
        <w:suppressAutoHyphens/>
        <w:rPr>
          <w:rFonts w:ascii="Arial" w:hAnsi="Arial" w:cs="Arial"/>
          <w:color w:val="FF40FF"/>
          <w:sz w:val="20"/>
          <w:szCs w:val="20"/>
        </w:rPr>
      </w:pPr>
      <w:r w:rsidRPr="006858AD">
        <w:rPr>
          <w:rFonts w:ascii="Arial" w:hAnsi="Arial" w:cs="Arial"/>
          <w:color w:val="FF40FF"/>
          <w:sz w:val="20"/>
          <w:szCs w:val="20"/>
        </w:rPr>
        <w:t>(Clinical notes, radiology reports, and labs)</w:t>
      </w:r>
      <w:r w:rsidR="002C3B68">
        <w:rPr>
          <w:rFonts w:ascii="Arial" w:hAnsi="Arial" w:cs="Arial"/>
          <w:color w:val="FF40FF"/>
          <w:sz w:val="20"/>
          <w:szCs w:val="20"/>
        </w:rPr>
        <w:t>]</w:t>
      </w:r>
      <w:r w:rsidRPr="006858AD">
        <w:rPr>
          <w:rFonts w:ascii="Arial" w:hAnsi="Arial" w:cs="Arial"/>
          <w:color w:val="FF40FF"/>
          <w:sz w:val="20"/>
          <w:szCs w:val="20"/>
        </w:rPr>
        <w:t xml:space="preserve"> </w:t>
      </w:r>
    </w:p>
    <w:p w14:paraId="42653571" w14:textId="7A1E1049" w:rsidR="00C43402" w:rsidRDefault="0097469E" w:rsidP="00922EA2">
      <w:pPr>
        <w:pStyle w:val="BasicParagraph"/>
        <w:suppressAutoHyphens/>
        <w:rPr>
          <w:rFonts w:ascii="Arial" w:hAnsi="Arial" w:cs="Arial"/>
          <w:color w:val="FF40FF"/>
          <w:sz w:val="20"/>
          <w:szCs w:val="20"/>
        </w:rPr>
      </w:pPr>
      <w:r w:rsidRPr="006858AD">
        <w:rPr>
          <w:rFonts w:ascii="Arial" w:hAnsi="Arial" w:cs="Arial"/>
          <w:color w:val="000000" w:themeColor="text1"/>
          <w:sz w:val="20"/>
          <w:szCs w:val="20"/>
        </w:rPr>
        <w:t xml:space="preserve">CC: </w:t>
      </w:r>
      <w:r w:rsidR="009B367D" w:rsidRPr="006858AD">
        <w:rPr>
          <w:rFonts w:ascii="Arial" w:hAnsi="Arial" w:cs="Arial"/>
          <w:color w:val="FF40FF"/>
          <w:sz w:val="20"/>
          <w:szCs w:val="20"/>
        </w:rPr>
        <w:t>[</w:t>
      </w:r>
      <w:r w:rsidR="00012E03" w:rsidRPr="006858AD">
        <w:rPr>
          <w:rFonts w:ascii="Arial" w:hAnsi="Arial" w:cs="Arial"/>
          <w:color w:val="FF40FF"/>
          <w:sz w:val="20"/>
          <w:szCs w:val="20"/>
        </w:rPr>
        <w:t>Patient,</w:t>
      </w:r>
      <w:r w:rsidRPr="006858AD">
        <w:rPr>
          <w:rFonts w:ascii="Arial" w:hAnsi="Arial" w:cs="Arial"/>
          <w:color w:val="FF40FF"/>
          <w:sz w:val="20"/>
          <w:szCs w:val="20"/>
        </w:rPr>
        <w:t xml:space="preserve"> </w:t>
      </w:r>
      <w:r w:rsidR="006769BB" w:rsidRPr="006858AD">
        <w:rPr>
          <w:rFonts w:ascii="Arial" w:hAnsi="Arial" w:cs="Arial"/>
          <w:color w:val="FF40FF"/>
          <w:sz w:val="20"/>
          <w:szCs w:val="20"/>
        </w:rPr>
        <w:t>other parties as appropriate</w:t>
      </w:r>
    </w:p>
    <w:p w14:paraId="565FED87" w14:textId="72DE7139" w:rsidR="006B5DB5" w:rsidRDefault="00796B7F" w:rsidP="00922EA2">
      <w:pPr>
        <w:pStyle w:val="BasicParagraph"/>
        <w:suppressAutoHyphens/>
        <w:rPr>
          <w:rFonts w:ascii="Arial" w:hAnsi="Arial" w:cs="Arial"/>
          <w:color w:val="FF40FF"/>
          <w:sz w:val="20"/>
          <w:szCs w:val="20"/>
        </w:rPr>
      </w:pPr>
      <w:r>
        <w:rPr>
          <w:rFonts w:ascii="Arial" w:hAnsi="Arial" w:cs="Arial"/>
          <w:color w:val="FF40FF"/>
          <w:sz w:val="20"/>
          <w:szCs w:val="20"/>
        </w:rPr>
        <w:t xml:space="preserve"> </w:t>
      </w:r>
    </w:p>
    <w:p w14:paraId="57C80E00" w14:textId="5AAA8ACC" w:rsidR="006B5DB5" w:rsidRDefault="006B5DB5" w:rsidP="00922EA2">
      <w:pPr>
        <w:pStyle w:val="BasicParagraph"/>
        <w:suppressAutoHyphens/>
        <w:rPr>
          <w:rFonts w:ascii="Arial" w:hAnsi="Arial" w:cs="Arial"/>
          <w:color w:val="auto"/>
          <w:sz w:val="20"/>
          <w:szCs w:val="20"/>
        </w:rPr>
      </w:pPr>
      <w:r w:rsidRPr="006B5DB5">
        <w:rPr>
          <w:rFonts w:ascii="Arial" w:hAnsi="Arial" w:cs="Arial"/>
          <w:color w:val="auto"/>
          <w:sz w:val="20"/>
          <w:szCs w:val="20"/>
        </w:rPr>
        <w:t>Please see Important Safety Information</w:t>
      </w:r>
      <w:r w:rsidR="00796B7F">
        <w:rPr>
          <w:rFonts w:ascii="Arial" w:hAnsi="Arial" w:cs="Arial"/>
          <w:color w:val="auto"/>
          <w:sz w:val="20"/>
          <w:szCs w:val="20"/>
        </w:rPr>
        <w:t xml:space="preserve"> </w:t>
      </w:r>
      <w:r w:rsidRPr="006B5DB5">
        <w:rPr>
          <w:rFonts w:ascii="Arial" w:hAnsi="Arial" w:cs="Arial"/>
          <w:color w:val="auto"/>
          <w:sz w:val="20"/>
          <w:szCs w:val="20"/>
        </w:rPr>
        <w:t>on next page.</w:t>
      </w:r>
    </w:p>
    <w:p w14:paraId="482C9FD9" w14:textId="77777777" w:rsidR="006B5DB5" w:rsidRDefault="006B5DB5" w:rsidP="00922EA2">
      <w:pPr>
        <w:pStyle w:val="BasicParagraph"/>
        <w:suppressAutoHyphens/>
        <w:rPr>
          <w:rFonts w:ascii="Arial" w:hAnsi="Arial" w:cs="Arial"/>
          <w:color w:val="auto"/>
          <w:sz w:val="20"/>
          <w:szCs w:val="20"/>
        </w:rPr>
      </w:pPr>
    </w:p>
    <w:p w14:paraId="75828A5B" w14:textId="77777777" w:rsidR="006B5DB5" w:rsidRDefault="006B5DB5" w:rsidP="00922EA2">
      <w:pPr>
        <w:pStyle w:val="BasicParagraph"/>
        <w:suppressAutoHyphens/>
        <w:rPr>
          <w:rFonts w:ascii="Arial" w:hAnsi="Arial" w:cs="Arial"/>
          <w:color w:val="auto"/>
          <w:sz w:val="20"/>
          <w:szCs w:val="20"/>
        </w:rPr>
      </w:pPr>
    </w:p>
    <w:p w14:paraId="6858CF78" w14:textId="77777777" w:rsidR="00FA4A39" w:rsidRDefault="00FA4A39" w:rsidP="00FA4A39">
      <w:pPr>
        <w:rPr>
          <w:rFonts w:ascii="Arial" w:hAnsi="Arial" w:cs="Arial"/>
          <w:b/>
          <w:bCs/>
          <w:sz w:val="20"/>
          <w:szCs w:val="20"/>
        </w:rPr>
      </w:pPr>
    </w:p>
    <w:p w14:paraId="790EF566" w14:textId="77777777" w:rsidR="00FA4A39" w:rsidRDefault="00FA4A39" w:rsidP="00FA4A39">
      <w:pPr>
        <w:rPr>
          <w:rFonts w:ascii="Arial" w:hAnsi="Arial" w:cs="Arial"/>
          <w:b/>
          <w:bCs/>
          <w:sz w:val="20"/>
          <w:szCs w:val="20"/>
        </w:rPr>
      </w:pPr>
    </w:p>
    <w:p w14:paraId="683AF98A" w14:textId="321C0C41" w:rsidR="00FA4A39" w:rsidRPr="006201A6" w:rsidRDefault="00FA4A39" w:rsidP="00FA4A39">
      <w:pPr>
        <w:rPr>
          <w:rFonts w:ascii="Arial" w:hAnsi="Arial" w:cs="Arial"/>
          <w:b/>
          <w:bCs/>
          <w:sz w:val="20"/>
          <w:szCs w:val="20"/>
        </w:rPr>
      </w:pPr>
      <w:r w:rsidRPr="006201A6">
        <w:rPr>
          <w:rFonts w:ascii="Arial" w:hAnsi="Arial" w:cs="Arial"/>
          <w:b/>
          <w:bCs/>
          <w:sz w:val="20"/>
          <w:szCs w:val="20"/>
        </w:rPr>
        <w:lastRenderedPageBreak/>
        <w:t>INDICATION AND IMPORTANT SAFETY INFORMATION</w:t>
      </w:r>
    </w:p>
    <w:p w14:paraId="398416F9" w14:textId="77777777" w:rsidR="00FA4A39" w:rsidRPr="006201A6" w:rsidRDefault="00FA4A39" w:rsidP="00FA4A39">
      <w:pPr>
        <w:rPr>
          <w:rFonts w:ascii="Arial" w:hAnsi="Arial" w:cs="Arial"/>
          <w:b/>
          <w:bCs/>
          <w:sz w:val="20"/>
          <w:szCs w:val="20"/>
        </w:rPr>
      </w:pPr>
      <w:r w:rsidRPr="006201A6">
        <w:rPr>
          <w:rFonts w:ascii="Arial" w:hAnsi="Arial" w:cs="Arial"/>
          <w:b/>
          <w:bCs/>
          <w:sz w:val="20"/>
          <w:szCs w:val="20"/>
        </w:rPr>
        <w:t>INDICATION</w:t>
      </w:r>
    </w:p>
    <w:p w14:paraId="1B722141" w14:textId="77777777" w:rsidR="00FA4A39" w:rsidRPr="006201A6" w:rsidRDefault="00FA4A39" w:rsidP="00FA4A39">
      <w:pPr>
        <w:rPr>
          <w:rFonts w:ascii="Arial" w:hAnsi="Arial" w:cs="Arial"/>
          <w:sz w:val="20"/>
          <w:szCs w:val="20"/>
        </w:rPr>
      </w:pPr>
      <w:r w:rsidRPr="006201A6">
        <w:rPr>
          <w:rFonts w:ascii="Arial" w:hAnsi="Arial" w:cs="Arial"/>
          <w:sz w:val="20"/>
          <w:szCs w:val="20"/>
        </w:rPr>
        <w:t>KRYSTEXXA</w:t>
      </w:r>
      <w:r w:rsidRPr="00FB6390">
        <w:rPr>
          <w:rFonts w:ascii="Arial" w:hAnsi="Arial" w:cs="Arial"/>
          <w:sz w:val="20"/>
          <w:szCs w:val="20"/>
          <w:vertAlign w:val="superscript"/>
        </w:rPr>
        <w:t>®</w:t>
      </w:r>
      <w:r w:rsidRPr="006201A6">
        <w:rPr>
          <w:rFonts w:ascii="Arial" w:hAnsi="Arial" w:cs="Arial"/>
          <w:sz w:val="20"/>
          <w:szCs w:val="20"/>
        </w:rPr>
        <w:t xml:space="preserve"> (pegloticase) is indicated for the treatment of chronic gout in adult patients who have failed to normalize serum uric acid and whose signs and symptoms are inadequately controlled with xanthine oxidase inhibitors at the maximum medically appropriate dose or for whom these drugs are contraindicated.</w:t>
      </w:r>
    </w:p>
    <w:p w14:paraId="04728971" w14:textId="77777777" w:rsidR="00FA4A39" w:rsidRPr="006201A6" w:rsidRDefault="00FA4A39" w:rsidP="00FA4A39">
      <w:pPr>
        <w:rPr>
          <w:rFonts w:ascii="Arial" w:hAnsi="Arial" w:cs="Arial"/>
          <w:sz w:val="20"/>
          <w:szCs w:val="20"/>
        </w:rPr>
      </w:pPr>
      <w:r w:rsidRPr="006201A6">
        <w:rPr>
          <w:rFonts w:ascii="Arial" w:hAnsi="Arial" w:cs="Arial"/>
          <w:sz w:val="20"/>
          <w:szCs w:val="20"/>
        </w:rPr>
        <w:t>Limitations of Use: KRYSTEXXA is not recommended for the treatment of asymptomatic hyperuricemia.</w:t>
      </w:r>
    </w:p>
    <w:p w14:paraId="390F6AD3" w14:textId="77777777" w:rsidR="00FA4A39" w:rsidRPr="006201A6" w:rsidRDefault="00FA4A39" w:rsidP="00FA4A39">
      <w:pPr>
        <w:rPr>
          <w:rFonts w:ascii="Arial" w:hAnsi="Arial" w:cs="Arial"/>
          <w:b/>
          <w:bCs/>
          <w:sz w:val="20"/>
          <w:szCs w:val="20"/>
        </w:rPr>
      </w:pPr>
      <w:r w:rsidRPr="006201A6">
        <w:rPr>
          <w:rFonts w:ascii="Arial" w:hAnsi="Arial" w:cs="Arial"/>
          <w:b/>
          <w:bCs/>
          <w:sz w:val="20"/>
          <w:szCs w:val="20"/>
        </w:rPr>
        <w:t>IMPORTANT SAFETY INFORMATION</w:t>
      </w:r>
    </w:p>
    <w:p w14:paraId="1F81F207" w14:textId="77777777" w:rsidR="00FA4A39" w:rsidRPr="006201A6" w:rsidRDefault="00FA4A39" w:rsidP="00FA4A39">
      <w:pPr>
        <w:rPr>
          <w:rFonts w:ascii="Arial" w:hAnsi="Arial" w:cs="Arial"/>
          <w:b/>
          <w:bCs/>
          <w:sz w:val="20"/>
          <w:szCs w:val="20"/>
        </w:rPr>
      </w:pPr>
      <w:r w:rsidRPr="006201A6">
        <w:rPr>
          <w:rFonts w:ascii="Arial" w:hAnsi="Arial" w:cs="Arial"/>
          <w:b/>
          <w:bCs/>
          <w:sz w:val="20"/>
          <w:szCs w:val="20"/>
        </w:rPr>
        <w:t>WARNING: ANAPHYLAXIS AND INFUSION REACTIONS, G6PD DEFICIENCY ASSOCIATED HEMOLYSIS AND METHEMOGLOBINEMIA</w:t>
      </w:r>
    </w:p>
    <w:p w14:paraId="572EB40F" w14:textId="77777777" w:rsidR="00FA4A39" w:rsidRPr="006201A6" w:rsidRDefault="00FA4A39" w:rsidP="00FA4A39">
      <w:pPr>
        <w:pStyle w:val="ListParagraph"/>
        <w:numPr>
          <w:ilvl w:val="0"/>
          <w:numId w:val="9"/>
        </w:numPr>
        <w:ind w:left="450"/>
        <w:rPr>
          <w:rFonts w:ascii="Arial" w:hAnsi="Arial" w:cs="Arial"/>
          <w:b/>
          <w:bCs/>
          <w:sz w:val="20"/>
          <w:szCs w:val="20"/>
        </w:rPr>
      </w:pPr>
      <w:r w:rsidRPr="006201A6">
        <w:rPr>
          <w:rFonts w:ascii="Arial" w:hAnsi="Arial" w:cs="Arial"/>
          <w:b/>
          <w:bCs/>
          <w:sz w:val="20"/>
          <w:szCs w:val="20"/>
        </w:rPr>
        <w:t>Anaphylaxis and infusion reactions have been reported to occur during and after administration of KRYSTEXXA.</w:t>
      </w:r>
    </w:p>
    <w:p w14:paraId="35BE8229" w14:textId="77777777" w:rsidR="00FA4A39" w:rsidRPr="006201A6" w:rsidRDefault="00FA4A39" w:rsidP="00FA4A39">
      <w:pPr>
        <w:pStyle w:val="ListParagraph"/>
        <w:numPr>
          <w:ilvl w:val="0"/>
          <w:numId w:val="9"/>
        </w:numPr>
        <w:ind w:left="450"/>
        <w:rPr>
          <w:rFonts w:ascii="Arial" w:hAnsi="Arial" w:cs="Arial"/>
          <w:b/>
          <w:bCs/>
          <w:sz w:val="20"/>
          <w:szCs w:val="20"/>
        </w:rPr>
      </w:pPr>
      <w:r w:rsidRPr="006201A6">
        <w:rPr>
          <w:rFonts w:ascii="Arial" w:hAnsi="Arial" w:cs="Arial"/>
          <w:b/>
          <w:bCs/>
          <w:sz w:val="20"/>
          <w:szCs w:val="20"/>
        </w:rPr>
        <w:t>Anaphylaxis may occur with any infusion, including a first infusion, and generally manifests within 2 hours of the infusion. Delayed hypersensitivity reactions have also been reported.</w:t>
      </w:r>
    </w:p>
    <w:p w14:paraId="68942925" w14:textId="77777777" w:rsidR="00FA4A39" w:rsidRPr="006201A6" w:rsidRDefault="00FA4A39" w:rsidP="00FA4A39">
      <w:pPr>
        <w:pStyle w:val="ListParagraph"/>
        <w:numPr>
          <w:ilvl w:val="0"/>
          <w:numId w:val="9"/>
        </w:numPr>
        <w:ind w:left="450"/>
        <w:rPr>
          <w:rFonts w:ascii="Arial" w:hAnsi="Arial" w:cs="Arial"/>
          <w:b/>
          <w:bCs/>
          <w:sz w:val="20"/>
          <w:szCs w:val="20"/>
        </w:rPr>
      </w:pPr>
      <w:r w:rsidRPr="006201A6">
        <w:rPr>
          <w:rFonts w:ascii="Arial" w:hAnsi="Arial" w:cs="Arial"/>
          <w:b/>
          <w:bCs/>
          <w:sz w:val="20"/>
          <w:szCs w:val="20"/>
        </w:rPr>
        <w:t>KRYSTEXXA should be administered in healthcare settings and by healthcare providers prepared to manage anaphylaxis and infusion reactions.</w:t>
      </w:r>
    </w:p>
    <w:p w14:paraId="16FB70DF" w14:textId="77777777" w:rsidR="00FA4A39" w:rsidRPr="006201A6" w:rsidRDefault="00FA4A39" w:rsidP="00FA4A39">
      <w:pPr>
        <w:pStyle w:val="ListParagraph"/>
        <w:numPr>
          <w:ilvl w:val="0"/>
          <w:numId w:val="9"/>
        </w:numPr>
        <w:ind w:left="450"/>
        <w:rPr>
          <w:rFonts w:ascii="Arial" w:hAnsi="Arial" w:cs="Arial"/>
          <w:b/>
          <w:bCs/>
          <w:sz w:val="20"/>
          <w:szCs w:val="20"/>
        </w:rPr>
      </w:pPr>
      <w:r w:rsidRPr="006201A6">
        <w:rPr>
          <w:rFonts w:ascii="Arial" w:hAnsi="Arial" w:cs="Arial"/>
          <w:b/>
          <w:bCs/>
          <w:sz w:val="20"/>
          <w:szCs w:val="20"/>
        </w:rPr>
        <w:t>Premedicate with antihistamines and corticosteroids and closely monitor for anaphylaxis for an appropriate period after administration of KRYSTEXXA.</w:t>
      </w:r>
    </w:p>
    <w:p w14:paraId="4725DB3A" w14:textId="77777777" w:rsidR="00FA4A39" w:rsidRPr="006201A6" w:rsidRDefault="00FA4A39" w:rsidP="00FA4A39">
      <w:pPr>
        <w:pStyle w:val="ListParagraph"/>
        <w:numPr>
          <w:ilvl w:val="0"/>
          <w:numId w:val="9"/>
        </w:numPr>
        <w:ind w:left="450"/>
        <w:rPr>
          <w:rFonts w:ascii="Arial" w:hAnsi="Arial" w:cs="Arial"/>
          <w:b/>
          <w:bCs/>
          <w:sz w:val="20"/>
          <w:szCs w:val="20"/>
        </w:rPr>
      </w:pPr>
      <w:r w:rsidRPr="006201A6">
        <w:rPr>
          <w:rFonts w:ascii="Arial" w:hAnsi="Arial" w:cs="Arial"/>
          <w:b/>
          <w:bCs/>
          <w:sz w:val="20"/>
          <w:szCs w:val="20"/>
        </w:rPr>
        <w:t>Monitor serum uric acid levels prior to each infusion and discontinue treatment if levels increase to above 6 mg/dL, particularly when 2 consecutive levels above 6 mg/dL are observed.</w:t>
      </w:r>
    </w:p>
    <w:p w14:paraId="12580D1A" w14:textId="77777777" w:rsidR="00FA4A39" w:rsidRPr="006201A6" w:rsidRDefault="00FA4A39" w:rsidP="00FA4A39">
      <w:pPr>
        <w:pStyle w:val="ListParagraph"/>
        <w:numPr>
          <w:ilvl w:val="0"/>
          <w:numId w:val="9"/>
        </w:numPr>
        <w:ind w:left="450"/>
        <w:rPr>
          <w:rFonts w:ascii="Arial" w:hAnsi="Arial" w:cs="Arial"/>
          <w:b/>
          <w:bCs/>
          <w:sz w:val="20"/>
          <w:szCs w:val="20"/>
        </w:rPr>
      </w:pPr>
      <w:r w:rsidRPr="006201A6">
        <w:rPr>
          <w:rFonts w:ascii="Arial" w:hAnsi="Arial" w:cs="Arial"/>
          <w:b/>
          <w:bCs/>
          <w:sz w:val="20"/>
          <w:szCs w:val="20"/>
        </w:rPr>
        <w:t>Screen patients at risk for glucose-6-phosphate dehydrogenase (G6PD) deficiency prior to starting KRYSTEXXA. Hemolysis and methemoglobinemia have been reported with KRYSTEXXA in patients with G6PD deficiency. KRYSTEXXA is contraindicated in patients with G6PD deficiency.</w:t>
      </w:r>
    </w:p>
    <w:p w14:paraId="56FB476E" w14:textId="77777777" w:rsidR="00FA4A39" w:rsidRPr="006201A6" w:rsidRDefault="00FA4A39" w:rsidP="00FA4A39">
      <w:pPr>
        <w:rPr>
          <w:rFonts w:ascii="Arial" w:hAnsi="Arial" w:cs="Arial"/>
          <w:b/>
          <w:bCs/>
          <w:sz w:val="20"/>
          <w:szCs w:val="20"/>
        </w:rPr>
      </w:pPr>
      <w:r w:rsidRPr="006201A6">
        <w:rPr>
          <w:rFonts w:ascii="Arial" w:hAnsi="Arial" w:cs="Arial"/>
          <w:b/>
          <w:bCs/>
          <w:sz w:val="20"/>
          <w:szCs w:val="20"/>
        </w:rPr>
        <w:t>CONTRAINDICATIONS:</w:t>
      </w:r>
    </w:p>
    <w:p w14:paraId="00F02E84" w14:textId="77777777" w:rsidR="00FA4A39" w:rsidRPr="006201A6" w:rsidRDefault="00FA4A39" w:rsidP="00FA4A39">
      <w:pPr>
        <w:pStyle w:val="ListParagraph"/>
        <w:numPr>
          <w:ilvl w:val="0"/>
          <w:numId w:val="10"/>
        </w:numPr>
        <w:ind w:left="450"/>
        <w:rPr>
          <w:rFonts w:ascii="Arial" w:hAnsi="Arial" w:cs="Arial"/>
          <w:sz w:val="20"/>
          <w:szCs w:val="20"/>
        </w:rPr>
      </w:pPr>
      <w:r w:rsidRPr="006201A6">
        <w:rPr>
          <w:rFonts w:ascii="Arial" w:hAnsi="Arial" w:cs="Arial"/>
          <w:sz w:val="20"/>
          <w:szCs w:val="20"/>
        </w:rPr>
        <w:t>In patients with G6PD deficiency.</w:t>
      </w:r>
    </w:p>
    <w:p w14:paraId="1935327B" w14:textId="77777777" w:rsidR="00FA4A39" w:rsidRPr="006201A6" w:rsidRDefault="00FA4A39" w:rsidP="00FA4A39">
      <w:pPr>
        <w:pStyle w:val="ListParagraph"/>
        <w:numPr>
          <w:ilvl w:val="0"/>
          <w:numId w:val="10"/>
        </w:numPr>
        <w:ind w:left="450"/>
        <w:rPr>
          <w:rFonts w:ascii="Arial" w:hAnsi="Arial" w:cs="Arial"/>
          <w:sz w:val="20"/>
          <w:szCs w:val="20"/>
        </w:rPr>
      </w:pPr>
      <w:r w:rsidRPr="006201A6">
        <w:rPr>
          <w:rFonts w:ascii="Arial" w:hAnsi="Arial" w:cs="Arial"/>
          <w:sz w:val="20"/>
          <w:szCs w:val="20"/>
        </w:rPr>
        <w:t>In patients with history of serious hypersensitivity reactions, including anaphylaxis, to KRYSTEXXA or any of its components.</w:t>
      </w:r>
    </w:p>
    <w:p w14:paraId="28DE58D3" w14:textId="77777777" w:rsidR="00FA4A39" w:rsidRPr="006201A6" w:rsidRDefault="00FA4A39" w:rsidP="00FA4A39">
      <w:pPr>
        <w:rPr>
          <w:rFonts w:ascii="Arial" w:hAnsi="Arial" w:cs="Arial"/>
          <w:b/>
          <w:bCs/>
          <w:sz w:val="20"/>
          <w:szCs w:val="20"/>
        </w:rPr>
      </w:pPr>
      <w:r w:rsidRPr="006201A6">
        <w:rPr>
          <w:rFonts w:ascii="Arial" w:hAnsi="Arial" w:cs="Arial"/>
          <w:b/>
          <w:bCs/>
          <w:sz w:val="20"/>
          <w:szCs w:val="20"/>
        </w:rPr>
        <w:t>WARNINGS AND PRECAUTIONS</w:t>
      </w:r>
    </w:p>
    <w:p w14:paraId="75026835" w14:textId="77777777" w:rsidR="00FA4A39" w:rsidRPr="006201A6" w:rsidRDefault="00FA4A39" w:rsidP="00FA4A39">
      <w:pPr>
        <w:rPr>
          <w:rFonts w:ascii="Arial" w:hAnsi="Arial" w:cs="Arial"/>
          <w:sz w:val="20"/>
          <w:szCs w:val="20"/>
        </w:rPr>
      </w:pPr>
      <w:r w:rsidRPr="006201A6">
        <w:rPr>
          <w:rFonts w:ascii="Arial" w:hAnsi="Arial" w:cs="Arial"/>
          <w:b/>
          <w:bCs/>
          <w:sz w:val="20"/>
          <w:szCs w:val="20"/>
        </w:rPr>
        <w:t>Gout Flares:</w:t>
      </w:r>
      <w:r w:rsidRPr="006201A6">
        <w:rPr>
          <w:rFonts w:ascii="Arial" w:hAnsi="Arial" w:cs="Arial"/>
          <w:sz w:val="20"/>
          <w:szCs w:val="20"/>
        </w:rPr>
        <w:t xml:space="preserve"> An increase in gout flares is frequently observed upon initiation of anti-</w:t>
      </w:r>
      <w:proofErr w:type="spellStart"/>
      <w:r w:rsidRPr="006201A6">
        <w:rPr>
          <w:rFonts w:ascii="Arial" w:hAnsi="Arial" w:cs="Arial"/>
          <w:sz w:val="20"/>
          <w:szCs w:val="20"/>
        </w:rPr>
        <w:t>hyperuricemic</w:t>
      </w:r>
      <w:proofErr w:type="spellEnd"/>
      <w:r w:rsidRPr="006201A6">
        <w:rPr>
          <w:rFonts w:ascii="Arial" w:hAnsi="Arial" w:cs="Arial"/>
          <w:sz w:val="20"/>
          <w:szCs w:val="20"/>
        </w:rPr>
        <w:t xml:space="preserve"> therapy, including KRYSTEXXA. Gout flare prophylaxis with a non-steroidal anti-inflammatory drug (NSAID) or colchicine is recommended starting at least 1 week before initiation of KRYSTEXXA therapy and lasting at least 6 months, unless medically contraindicated or not tolerated.</w:t>
      </w:r>
    </w:p>
    <w:p w14:paraId="7864C1BC" w14:textId="77777777" w:rsidR="00FA4A39" w:rsidRPr="006201A6" w:rsidRDefault="00FA4A39" w:rsidP="00FA4A39">
      <w:pPr>
        <w:rPr>
          <w:rFonts w:ascii="Arial" w:hAnsi="Arial" w:cs="Arial"/>
          <w:sz w:val="20"/>
          <w:szCs w:val="20"/>
        </w:rPr>
      </w:pPr>
      <w:r w:rsidRPr="006201A6">
        <w:rPr>
          <w:rFonts w:ascii="Arial" w:hAnsi="Arial" w:cs="Arial"/>
          <w:b/>
          <w:bCs/>
          <w:sz w:val="20"/>
          <w:szCs w:val="20"/>
        </w:rPr>
        <w:t>Congestive Heart Failure:</w:t>
      </w:r>
      <w:r w:rsidRPr="006201A6">
        <w:rPr>
          <w:rFonts w:ascii="Arial" w:hAnsi="Arial" w:cs="Arial"/>
          <w:sz w:val="20"/>
          <w:szCs w:val="20"/>
        </w:rPr>
        <w:t xml:space="preserve"> KRYSTEXXA has not been formally studied in patients with congestive heart failure, but some patients in the pre-marketing placebo-controlled clinical trials experienced exacerbation. Exercise caution in patients who have congestive heart failure and monitor patients closely following infusion.</w:t>
      </w:r>
    </w:p>
    <w:p w14:paraId="4C6930EC" w14:textId="77777777" w:rsidR="00FA4A39" w:rsidRPr="006201A6" w:rsidRDefault="00FA4A39" w:rsidP="00FA4A39">
      <w:pPr>
        <w:rPr>
          <w:rFonts w:ascii="Arial" w:hAnsi="Arial" w:cs="Arial"/>
          <w:b/>
          <w:bCs/>
          <w:sz w:val="20"/>
          <w:szCs w:val="20"/>
        </w:rPr>
      </w:pPr>
      <w:r w:rsidRPr="006201A6">
        <w:rPr>
          <w:rFonts w:ascii="Arial" w:hAnsi="Arial" w:cs="Arial"/>
          <w:b/>
          <w:bCs/>
          <w:sz w:val="20"/>
          <w:szCs w:val="20"/>
        </w:rPr>
        <w:t>ADVERSE REACTIONS</w:t>
      </w:r>
    </w:p>
    <w:p w14:paraId="7A86AFAA" w14:textId="77777777" w:rsidR="00FA4A39" w:rsidRPr="006201A6" w:rsidRDefault="00FA4A39" w:rsidP="00FA4A39">
      <w:pPr>
        <w:rPr>
          <w:rFonts w:ascii="Arial" w:hAnsi="Arial" w:cs="Arial"/>
          <w:sz w:val="20"/>
          <w:szCs w:val="20"/>
        </w:rPr>
      </w:pPr>
      <w:r w:rsidRPr="006201A6">
        <w:rPr>
          <w:rFonts w:ascii="Arial" w:hAnsi="Arial" w:cs="Arial"/>
          <w:sz w:val="20"/>
          <w:szCs w:val="20"/>
        </w:rPr>
        <w:t xml:space="preserve">The </w:t>
      </w:r>
      <w:proofErr w:type="gramStart"/>
      <w:r w:rsidRPr="006201A6">
        <w:rPr>
          <w:rFonts w:ascii="Arial" w:hAnsi="Arial" w:cs="Arial"/>
          <w:sz w:val="20"/>
          <w:szCs w:val="20"/>
        </w:rPr>
        <w:t>most commonly reported</w:t>
      </w:r>
      <w:proofErr w:type="gramEnd"/>
      <w:r w:rsidRPr="006201A6">
        <w:rPr>
          <w:rFonts w:ascii="Arial" w:hAnsi="Arial" w:cs="Arial"/>
          <w:sz w:val="20"/>
          <w:szCs w:val="20"/>
        </w:rPr>
        <w:t xml:space="preserve"> adverse reactions (≥5%) are:</w:t>
      </w:r>
    </w:p>
    <w:p w14:paraId="1C0DF61C" w14:textId="77777777" w:rsidR="00FA4A39" w:rsidRPr="006201A6" w:rsidRDefault="00FA4A39" w:rsidP="00FA4A39">
      <w:pPr>
        <w:rPr>
          <w:rFonts w:ascii="Arial" w:hAnsi="Arial" w:cs="Arial"/>
          <w:b/>
          <w:bCs/>
          <w:sz w:val="20"/>
          <w:szCs w:val="20"/>
        </w:rPr>
      </w:pPr>
      <w:r w:rsidRPr="006201A6">
        <w:rPr>
          <w:rFonts w:ascii="Arial" w:hAnsi="Arial" w:cs="Arial"/>
          <w:b/>
          <w:bCs/>
          <w:sz w:val="20"/>
          <w:szCs w:val="20"/>
        </w:rPr>
        <w:t>KRYSTEXXA co-administration with methotrexate trial:</w:t>
      </w:r>
      <w:r w:rsidRPr="006201A6">
        <w:rPr>
          <w:rFonts w:ascii="Arial" w:hAnsi="Arial" w:cs="Arial"/>
          <w:b/>
          <w:bCs/>
          <w:sz w:val="20"/>
          <w:szCs w:val="20"/>
        </w:rPr>
        <w:br/>
      </w:r>
      <w:r w:rsidRPr="006201A6">
        <w:rPr>
          <w:rFonts w:ascii="Arial" w:hAnsi="Arial" w:cs="Arial"/>
          <w:sz w:val="20"/>
          <w:szCs w:val="20"/>
        </w:rPr>
        <w:t>KRYSTEXXA with methotrexate: gout flares, arthralgia, COVID-19, nausea, and fatigue; KRYSTEXXA alone: gout flares, arthralgia, COVID-19, nausea, fatigue, infusion reaction, pain in extremity, hypertension, and vomiting.</w:t>
      </w:r>
    </w:p>
    <w:p w14:paraId="5EA752A2" w14:textId="77777777" w:rsidR="00FA4A39" w:rsidRPr="006201A6" w:rsidRDefault="00FA4A39" w:rsidP="00FA4A39">
      <w:pPr>
        <w:rPr>
          <w:rFonts w:ascii="Arial" w:hAnsi="Arial" w:cs="Arial"/>
          <w:b/>
          <w:bCs/>
          <w:sz w:val="20"/>
          <w:szCs w:val="20"/>
        </w:rPr>
      </w:pPr>
      <w:r w:rsidRPr="006201A6">
        <w:rPr>
          <w:rFonts w:ascii="Arial" w:hAnsi="Arial" w:cs="Arial"/>
          <w:b/>
          <w:bCs/>
          <w:sz w:val="20"/>
          <w:szCs w:val="20"/>
        </w:rPr>
        <w:t>KRYSTEXXA pre-marketing placebo-controlled trials:</w:t>
      </w:r>
      <w:r w:rsidRPr="006201A6">
        <w:rPr>
          <w:rFonts w:ascii="Arial" w:hAnsi="Arial" w:cs="Arial"/>
          <w:b/>
          <w:bCs/>
          <w:sz w:val="20"/>
          <w:szCs w:val="20"/>
        </w:rPr>
        <w:br/>
      </w:r>
      <w:r w:rsidRPr="006201A6">
        <w:rPr>
          <w:rFonts w:ascii="Arial" w:hAnsi="Arial" w:cs="Arial"/>
          <w:sz w:val="20"/>
          <w:szCs w:val="20"/>
        </w:rPr>
        <w:t>gout flares, infusion reactions, nausea, contusion or ecchymosis, nasopharyngitis, constipation, chest pain, anaphylaxis, and vomiting.</w:t>
      </w:r>
    </w:p>
    <w:p w14:paraId="5419EF1C" w14:textId="77777777" w:rsidR="00FA4A39" w:rsidRPr="006201A6" w:rsidRDefault="00FA4A39" w:rsidP="00FA4A39">
      <w:pPr>
        <w:rPr>
          <w:rFonts w:ascii="Arial" w:hAnsi="Arial" w:cs="Arial"/>
          <w:sz w:val="20"/>
          <w:szCs w:val="20"/>
        </w:rPr>
      </w:pPr>
    </w:p>
    <w:p w14:paraId="7D2EDCEF" w14:textId="41D6176B" w:rsidR="006B5DB5" w:rsidRPr="006201A6" w:rsidRDefault="006201A6" w:rsidP="006201A6">
      <w:pPr>
        <w:rPr>
          <w:rFonts w:ascii="Arial" w:hAnsi="Arial" w:cs="Arial"/>
          <w:sz w:val="20"/>
          <w:szCs w:val="20"/>
        </w:rPr>
      </w:pPr>
      <w:r w:rsidRPr="00922EA2">
        <w:rPr>
          <w:rFonts w:ascii="Arial" w:hAnsi="Arial" w:cs="Arial"/>
          <w:noProof/>
          <w:color w:val="000000" w:themeColor="text1"/>
          <w:sz w:val="20"/>
          <w:szCs w:val="20"/>
        </w:rPr>
        <mc:AlternateContent>
          <mc:Choice Requires="wps">
            <w:drawing>
              <wp:anchor distT="45720" distB="45720" distL="114300" distR="114300" simplePos="0" relativeHeight="251658752" behindDoc="0" locked="0" layoutInCell="1" allowOverlap="1" wp14:anchorId="6AF6D188" wp14:editId="5E1B1E42">
                <wp:simplePos x="0" y="0"/>
                <wp:positionH relativeFrom="column">
                  <wp:posOffset>4171950</wp:posOffset>
                </wp:positionH>
                <wp:positionV relativeFrom="paragraph">
                  <wp:posOffset>407035</wp:posOffset>
                </wp:positionV>
                <wp:extent cx="2360930"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17E571B" w14:textId="77777777" w:rsidR="006201A6" w:rsidRPr="00922EA2" w:rsidRDefault="006201A6" w:rsidP="006201A6">
                            <w:pPr>
                              <w:spacing w:after="0" w:line="240" w:lineRule="auto"/>
                              <w:jc w:val="right"/>
                              <w:rPr>
                                <w:rFonts w:ascii="Arial" w:eastAsia="Times New Roman" w:hAnsi="Arial" w:cs="Arial"/>
                                <w:bCs/>
                                <w:color w:val="FF00FF"/>
                                <w:sz w:val="20"/>
                                <w:szCs w:val="20"/>
                              </w:rPr>
                            </w:pPr>
                            <w:r w:rsidRPr="00E36293">
                              <w:rPr>
                                <w:rFonts w:ascii="Arial" w:eastAsia="Times New Roman" w:hAnsi="Arial" w:cs="Arial"/>
                                <w:bCs/>
                                <w:sz w:val="20"/>
                                <w:szCs w:val="20"/>
                              </w:rPr>
                              <w:t xml:space="preserve">USA-400-80087  </w:t>
                            </w:r>
                            <w:r w:rsidRPr="00A13A52">
                              <w:rPr>
                                <w:rFonts w:ascii="Arial" w:eastAsia="Times New Roman" w:hAnsi="Arial" w:cs="Arial"/>
                                <w:bCs/>
                                <w:sz w:val="20"/>
                                <w:szCs w:val="20"/>
                              </w:rPr>
                              <w:t>0</w:t>
                            </w:r>
                            <w:r>
                              <w:rPr>
                                <w:rFonts w:ascii="Arial" w:eastAsia="Times New Roman" w:hAnsi="Arial" w:cs="Arial"/>
                                <w:bCs/>
                                <w:sz w:val="20"/>
                                <w:szCs w:val="20"/>
                              </w:rPr>
                              <w:t>2</w:t>
                            </w:r>
                            <w:r w:rsidRPr="00A13A52">
                              <w:rPr>
                                <w:rFonts w:ascii="Arial" w:eastAsia="Times New Roman" w:hAnsi="Arial" w:cs="Arial"/>
                                <w:bCs/>
                                <w:sz w:val="20"/>
                                <w:szCs w:val="20"/>
                              </w:rPr>
                              <w:t>/25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AF6D188" id="_x0000_t202" coordsize="21600,21600" o:spt="202" path="m,l,21600r21600,l21600,xe">
                <v:stroke joinstyle="miter"/>
                <v:path gradientshapeok="t" o:connecttype="rect"/>
              </v:shapetype>
              <v:shape id="Text Box 2" o:spid="_x0000_s1026" type="#_x0000_t202" style="position:absolute;margin-left:328.5pt;margin-top:32.05pt;width:185.9pt;height:110.6pt;z-index:2516587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" filled="f" stroked="f">
                <v:textbox style="mso-fit-shape-to-text:t">
                  <w:txbxContent>
                    <w:p w14:paraId="217E571B" w14:textId="77777777" w:rsidR="006201A6" w:rsidRPr="00922EA2" w:rsidRDefault="006201A6" w:rsidP="006201A6">
                      <w:pPr>
                        <w:spacing w:after="0" w:line="240" w:lineRule="auto"/>
                        <w:jc w:val="right"/>
                        <w:rPr>
                          <w:rFonts w:ascii="Arial" w:eastAsia="Times New Roman" w:hAnsi="Arial" w:cs="Arial"/>
                          <w:bCs/>
                          <w:color w:val="FF00FF"/>
                          <w:sz w:val="20"/>
                          <w:szCs w:val="20"/>
                        </w:rPr>
                      </w:pPr>
                      <w:r w:rsidRPr="00E36293">
                        <w:rPr>
                          <w:rFonts w:ascii="Arial" w:eastAsia="Times New Roman" w:hAnsi="Arial" w:cs="Arial"/>
                          <w:bCs/>
                          <w:sz w:val="20"/>
                          <w:szCs w:val="20"/>
                        </w:rPr>
                        <w:t>USA-400-</w:t>
                      </w:r>
                      <w:proofErr w:type="gramStart"/>
                      <w:r w:rsidRPr="00E36293">
                        <w:rPr>
                          <w:rFonts w:ascii="Arial" w:eastAsia="Times New Roman" w:hAnsi="Arial" w:cs="Arial"/>
                          <w:bCs/>
                          <w:sz w:val="20"/>
                          <w:szCs w:val="20"/>
                        </w:rPr>
                        <w:t xml:space="preserve">80087  </w:t>
                      </w:r>
                      <w:r w:rsidRPr="00A13A52">
                        <w:rPr>
                          <w:rFonts w:ascii="Arial" w:eastAsia="Times New Roman" w:hAnsi="Arial" w:cs="Arial"/>
                          <w:bCs/>
                          <w:sz w:val="20"/>
                          <w:szCs w:val="20"/>
                        </w:rPr>
                        <w:t>0</w:t>
                      </w:r>
                      <w:r>
                        <w:rPr>
                          <w:rFonts w:ascii="Arial" w:eastAsia="Times New Roman" w:hAnsi="Arial" w:cs="Arial"/>
                          <w:bCs/>
                          <w:sz w:val="20"/>
                          <w:szCs w:val="20"/>
                        </w:rPr>
                        <w:t>2</w:t>
                      </w:r>
                      <w:proofErr w:type="gramEnd"/>
                      <w:r w:rsidRPr="00A13A52">
                        <w:rPr>
                          <w:rFonts w:ascii="Arial" w:eastAsia="Times New Roman" w:hAnsi="Arial" w:cs="Arial"/>
                          <w:bCs/>
                          <w:sz w:val="20"/>
                          <w:szCs w:val="20"/>
                        </w:rPr>
                        <w:t>/25</w:t>
                      </w:r>
                    </w:p>
                  </w:txbxContent>
                </v:textbox>
              </v:shape>
            </w:pict>
          </mc:Fallback>
        </mc:AlternateContent>
      </w:r>
      <w:r w:rsidR="00FA4A39" w:rsidRPr="006201A6">
        <w:rPr>
          <w:rFonts w:ascii="Arial" w:hAnsi="Arial" w:cs="Arial"/>
          <w:sz w:val="20"/>
          <w:szCs w:val="20"/>
        </w:rPr>
        <w:t xml:space="preserve">Please see accompanying </w:t>
      </w:r>
      <w:r w:rsidR="00FA4A39" w:rsidRPr="00197FD1">
        <w:rPr>
          <w:rFonts w:ascii="Arial" w:hAnsi="Arial" w:cs="Arial"/>
          <w:color w:val="4472C4" w:themeColor="accent1"/>
          <w:sz w:val="20"/>
          <w:szCs w:val="20"/>
          <w:u w:val="single"/>
        </w:rPr>
        <w:t>Full Prescribing Information</w:t>
      </w:r>
      <w:r w:rsidR="00FA4A39" w:rsidRPr="006201A6">
        <w:rPr>
          <w:rFonts w:ascii="Arial" w:hAnsi="Arial" w:cs="Arial"/>
          <w:sz w:val="20"/>
          <w:szCs w:val="20"/>
        </w:rPr>
        <w:t>, including Boxed Warning.</w:t>
      </w:r>
      <w:r w:rsidRPr="006201A6">
        <w:rPr>
          <w:rFonts w:ascii="Arial" w:hAnsi="Arial" w:cs="Arial"/>
          <w:noProof/>
          <w:color w:val="000000" w:themeColor="text1"/>
          <w:sz w:val="20"/>
          <w:szCs w:val="20"/>
        </w:rPr>
        <w:t xml:space="preserve"> </w:t>
      </w:r>
    </w:p>
    <w:sectPr w:rsidR="006B5DB5" w:rsidRPr="006201A6" w:rsidSect="006201A6">
      <w:footerReference w:type="default" r:id="rId11"/>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F1AFD" w14:textId="77777777" w:rsidR="00A3065C" w:rsidRDefault="00A3065C" w:rsidP="00175B8F">
      <w:pPr>
        <w:spacing w:after="0" w:line="240" w:lineRule="auto"/>
      </w:pPr>
      <w:r>
        <w:separator/>
      </w:r>
    </w:p>
  </w:endnote>
  <w:endnote w:type="continuationSeparator" w:id="0">
    <w:p w14:paraId="09C1D20C" w14:textId="77777777" w:rsidR="00A3065C" w:rsidRDefault="00A3065C" w:rsidP="00175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charset w:val="00"/>
    <w:family w:val="roman"/>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E66BB" w14:textId="7500EA04" w:rsidR="00E842F3" w:rsidRDefault="00C85102" w:rsidP="00C85102">
    <w:pPr>
      <w:pStyle w:val="Footer"/>
      <w:tabs>
        <w:tab w:val="clear" w:pos="4680"/>
        <w:tab w:val="clear" w:pos="9360"/>
        <w:tab w:val="left" w:pos="8280"/>
        <w:tab w:val="left" w:pos="10710"/>
      </w:tabs>
      <w:ind w:left="8010" w:hanging="774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B1399C" w14:textId="77777777" w:rsidR="00A3065C" w:rsidRDefault="00A3065C" w:rsidP="00175B8F">
      <w:pPr>
        <w:spacing w:after="0" w:line="240" w:lineRule="auto"/>
      </w:pPr>
      <w:r>
        <w:separator/>
      </w:r>
    </w:p>
  </w:footnote>
  <w:footnote w:type="continuationSeparator" w:id="0">
    <w:p w14:paraId="4A5A9D3A" w14:textId="77777777" w:rsidR="00A3065C" w:rsidRDefault="00A3065C" w:rsidP="00175B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83085"/>
    <w:multiLevelType w:val="hybridMultilevel"/>
    <w:tmpl w:val="E51AA342"/>
    <w:lvl w:ilvl="0" w:tplc="F028E6CC">
      <w:numFmt w:val="bullet"/>
      <w:lvlText w:val="-"/>
      <w:lvlJc w:val="left"/>
      <w:pPr>
        <w:ind w:left="640" w:hanging="360"/>
      </w:pPr>
      <w:rPr>
        <w:rFonts w:ascii="Calibri" w:eastAsia="Arial" w:hAnsi="Calibri" w:cs="Calibri" w:hint="default"/>
        <w:w w:val="95"/>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 w15:restartNumberingAfterBreak="0">
    <w:nsid w:val="134F6F2A"/>
    <w:multiLevelType w:val="multilevel"/>
    <w:tmpl w:val="D76CF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9424B"/>
    <w:multiLevelType w:val="hybridMultilevel"/>
    <w:tmpl w:val="F3F6E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835F1F"/>
    <w:multiLevelType w:val="hybridMultilevel"/>
    <w:tmpl w:val="BA280DAE"/>
    <w:lvl w:ilvl="0" w:tplc="150CA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5136B0"/>
    <w:multiLevelType w:val="hybridMultilevel"/>
    <w:tmpl w:val="7A0C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367D44"/>
    <w:multiLevelType w:val="hybridMultilevel"/>
    <w:tmpl w:val="9132A4A8"/>
    <w:lvl w:ilvl="0" w:tplc="D598DC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C712B1"/>
    <w:multiLevelType w:val="hybridMultilevel"/>
    <w:tmpl w:val="FE50F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EF3B6B"/>
    <w:multiLevelType w:val="hybridMultilevel"/>
    <w:tmpl w:val="763AEC8A"/>
    <w:lvl w:ilvl="0" w:tplc="B81473CE">
      <w:start w:val="1"/>
      <w:numFmt w:val="bullet"/>
      <w:lvlText w:val="•"/>
      <w:lvlJc w:val="left"/>
      <w:pPr>
        <w:ind w:hanging="156"/>
      </w:pPr>
      <w:rPr>
        <w:rFonts w:ascii="Arial" w:eastAsia="Arial" w:hAnsi="Arial" w:hint="default"/>
        <w:color w:val="58595B"/>
        <w:w w:val="142"/>
        <w:sz w:val="20"/>
        <w:szCs w:val="20"/>
      </w:rPr>
    </w:lvl>
    <w:lvl w:ilvl="1" w:tplc="42785FEA">
      <w:start w:val="1"/>
      <w:numFmt w:val="bullet"/>
      <w:lvlText w:val="•"/>
      <w:lvlJc w:val="left"/>
      <w:rPr>
        <w:rFonts w:hint="default"/>
      </w:rPr>
    </w:lvl>
    <w:lvl w:ilvl="2" w:tplc="2822EF00">
      <w:start w:val="1"/>
      <w:numFmt w:val="bullet"/>
      <w:lvlText w:val="•"/>
      <w:lvlJc w:val="left"/>
      <w:rPr>
        <w:rFonts w:hint="default"/>
      </w:rPr>
    </w:lvl>
    <w:lvl w:ilvl="3" w:tplc="65B2C012">
      <w:start w:val="1"/>
      <w:numFmt w:val="bullet"/>
      <w:lvlText w:val="•"/>
      <w:lvlJc w:val="left"/>
      <w:rPr>
        <w:rFonts w:hint="default"/>
      </w:rPr>
    </w:lvl>
    <w:lvl w:ilvl="4" w:tplc="11BCD2D8">
      <w:start w:val="1"/>
      <w:numFmt w:val="bullet"/>
      <w:lvlText w:val="•"/>
      <w:lvlJc w:val="left"/>
      <w:rPr>
        <w:rFonts w:hint="default"/>
      </w:rPr>
    </w:lvl>
    <w:lvl w:ilvl="5" w:tplc="488E0298">
      <w:start w:val="1"/>
      <w:numFmt w:val="bullet"/>
      <w:lvlText w:val="•"/>
      <w:lvlJc w:val="left"/>
      <w:rPr>
        <w:rFonts w:hint="default"/>
      </w:rPr>
    </w:lvl>
    <w:lvl w:ilvl="6" w:tplc="F4540686">
      <w:start w:val="1"/>
      <w:numFmt w:val="bullet"/>
      <w:lvlText w:val="•"/>
      <w:lvlJc w:val="left"/>
      <w:rPr>
        <w:rFonts w:hint="default"/>
      </w:rPr>
    </w:lvl>
    <w:lvl w:ilvl="7" w:tplc="B78CED04">
      <w:start w:val="1"/>
      <w:numFmt w:val="bullet"/>
      <w:lvlText w:val="•"/>
      <w:lvlJc w:val="left"/>
      <w:rPr>
        <w:rFonts w:hint="default"/>
      </w:rPr>
    </w:lvl>
    <w:lvl w:ilvl="8" w:tplc="6F081744">
      <w:start w:val="1"/>
      <w:numFmt w:val="bullet"/>
      <w:lvlText w:val="•"/>
      <w:lvlJc w:val="left"/>
      <w:rPr>
        <w:rFonts w:hint="default"/>
      </w:rPr>
    </w:lvl>
  </w:abstractNum>
  <w:abstractNum w:abstractNumId="8" w15:restartNumberingAfterBreak="0">
    <w:nsid w:val="730C5257"/>
    <w:multiLevelType w:val="hybridMultilevel"/>
    <w:tmpl w:val="20C444BE"/>
    <w:lvl w:ilvl="0" w:tplc="88A45CA8">
      <w:start w:val="1"/>
      <w:numFmt w:val="decimal"/>
      <w:lvlText w:val="%1."/>
      <w:lvlJc w:val="left"/>
      <w:pPr>
        <w:ind w:left="720" w:hanging="360"/>
      </w:pPr>
      <w:rPr>
        <w:rFonts w:hint="default"/>
        <w:w w:val="9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6F43CB"/>
    <w:multiLevelType w:val="hybridMultilevel"/>
    <w:tmpl w:val="F054508E"/>
    <w:lvl w:ilvl="0" w:tplc="9F144A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0513318">
    <w:abstractNumId w:val="7"/>
  </w:num>
  <w:num w:numId="2" w16cid:durableId="311104520">
    <w:abstractNumId w:val="1"/>
  </w:num>
  <w:num w:numId="3" w16cid:durableId="1315648461">
    <w:abstractNumId w:val="0"/>
  </w:num>
  <w:num w:numId="4" w16cid:durableId="2021736240">
    <w:abstractNumId w:val="8"/>
  </w:num>
  <w:num w:numId="5" w16cid:durableId="687558537">
    <w:abstractNumId w:val="5"/>
  </w:num>
  <w:num w:numId="6" w16cid:durableId="110124953">
    <w:abstractNumId w:val="3"/>
  </w:num>
  <w:num w:numId="7" w16cid:durableId="1829050456">
    <w:abstractNumId w:val="6"/>
  </w:num>
  <w:num w:numId="8" w16cid:durableId="28916918">
    <w:abstractNumId w:val="9"/>
  </w:num>
  <w:num w:numId="9" w16cid:durableId="1850093644">
    <w:abstractNumId w:val="2"/>
  </w:num>
  <w:num w:numId="10" w16cid:durableId="10243324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2A"/>
    <w:rsid w:val="00002F53"/>
    <w:rsid w:val="0000404F"/>
    <w:rsid w:val="00012E03"/>
    <w:rsid w:val="00013AD9"/>
    <w:rsid w:val="00034743"/>
    <w:rsid w:val="00042367"/>
    <w:rsid w:val="000459FB"/>
    <w:rsid w:val="00052CE5"/>
    <w:rsid w:val="00067148"/>
    <w:rsid w:val="00071D38"/>
    <w:rsid w:val="000722A8"/>
    <w:rsid w:val="00090D59"/>
    <w:rsid w:val="000A224A"/>
    <w:rsid w:val="000B698C"/>
    <w:rsid w:val="000C7D0B"/>
    <w:rsid w:val="000D0DBA"/>
    <w:rsid w:val="000D4EA7"/>
    <w:rsid w:val="000E073C"/>
    <w:rsid w:val="000E074A"/>
    <w:rsid w:val="000E6047"/>
    <w:rsid w:val="00100F16"/>
    <w:rsid w:val="00112514"/>
    <w:rsid w:val="00121859"/>
    <w:rsid w:val="001249F9"/>
    <w:rsid w:val="00132579"/>
    <w:rsid w:val="0014638B"/>
    <w:rsid w:val="0015051B"/>
    <w:rsid w:val="001666C9"/>
    <w:rsid w:val="00166BEE"/>
    <w:rsid w:val="0017127A"/>
    <w:rsid w:val="00174E82"/>
    <w:rsid w:val="001758B3"/>
    <w:rsid w:val="00175B8F"/>
    <w:rsid w:val="00187D8E"/>
    <w:rsid w:val="00197FD1"/>
    <w:rsid w:val="001A0AD6"/>
    <w:rsid w:val="001A0EAD"/>
    <w:rsid w:val="001A442E"/>
    <w:rsid w:val="001C0A80"/>
    <w:rsid w:val="001C1755"/>
    <w:rsid w:val="001D0683"/>
    <w:rsid w:val="001D335E"/>
    <w:rsid w:val="001D3C98"/>
    <w:rsid w:val="001D3CA9"/>
    <w:rsid w:val="001D4364"/>
    <w:rsid w:val="001E1C42"/>
    <w:rsid w:val="001E2FA6"/>
    <w:rsid w:val="001E4B1F"/>
    <w:rsid w:val="001F0CD6"/>
    <w:rsid w:val="001F3F49"/>
    <w:rsid w:val="00203D90"/>
    <w:rsid w:val="0023626D"/>
    <w:rsid w:val="002405A1"/>
    <w:rsid w:val="00271D2B"/>
    <w:rsid w:val="00276369"/>
    <w:rsid w:val="00285F0B"/>
    <w:rsid w:val="00297F71"/>
    <w:rsid w:val="002A2E9F"/>
    <w:rsid w:val="002A327B"/>
    <w:rsid w:val="002A4430"/>
    <w:rsid w:val="002A71A9"/>
    <w:rsid w:val="002B44F7"/>
    <w:rsid w:val="002C05EA"/>
    <w:rsid w:val="002C3B68"/>
    <w:rsid w:val="002C454D"/>
    <w:rsid w:val="002D3238"/>
    <w:rsid w:val="002E592C"/>
    <w:rsid w:val="002E5F9E"/>
    <w:rsid w:val="002F0A1C"/>
    <w:rsid w:val="00302977"/>
    <w:rsid w:val="00304850"/>
    <w:rsid w:val="00310F3A"/>
    <w:rsid w:val="00315273"/>
    <w:rsid w:val="00325861"/>
    <w:rsid w:val="0033418A"/>
    <w:rsid w:val="0034465D"/>
    <w:rsid w:val="00367C7F"/>
    <w:rsid w:val="00370194"/>
    <w:rsid w:val="00371B12"/>
    <w:rsid w:val="00371B42"/>
    <w:rsid w:val="00377AC3"/>
    <w:rsid w:val="00380D01"/>
    <w:rsid w:val="00387DE2"/>
    <w:rsid w:val="00391EEF"/>
    <w:rsid w:val="003A5034"/>
    <w:rsid w:val="003B0B54"/>
    <w:rsid w:val="003C38B1"/>
    <w:rsid w:val="003C728A"/>
    <w:rsid w:val="003D13EE"/>
    <w:rsid w:val="003E0745"/>
    <w:rsid w:val="003E5DCC"/>
    <w:rsid w:val="003F4EB2"/>
    <w:rsid w:val="00400D41"/>
    <w:rsid w:val="00401671"/>
    <w:rsid w:val="00411127"/>
    <w:rsid w:val="00413F6E"/>
    <w:rsid w:val="00414563"/>
    <w:rsid w:val="0041649F"/>
    <w:rsid w:val="004408E3"/>
    <w:rsid w:val="00441311"/>
    <w:rsid w:val="004426E4"/>
    <w:rsid w:val="004523D2"/>
    <w:rsid w:val="00466532"/>
    <w:rsid w:val="00470AAC"/>
    <w:rsid w:val="00472D5F"/>
    <w:rsid w:val="004748AF"/>
    <w:rsid w:val="00485A9C"/>
    <w:rsid w:val="00491E5C"/>
    <w:rsid w:val="00496C68"/>
    <w:rsid w:val="004A1491"/>
    <w:rsid w:val="004A2C29"/>
    <w:rsid w:val="004B0DD7"/>
    <w:rsid w:val="004B326A"/>
    <w:rsid w:val="004B5A04"/>
    <w:rsid w:val="004D51CE"/>
    <w:rsid w:val="004D584F"/>
    <w:rsid w:val="004D5CA7"/>
    <w:rsid w:val="004D6EB7"/>
    <w:rsid w:val="004E5F76"/>
    <w:rsid w:val="004F39A8"/>
    <w:rsid w:val="004F7007"/>
    <w:rsid w:val="00504337"/>
    <w:rsid w:val="00515764"/>
    <w:rsid w:val="00516A99"/>
    <w:rsid w:val="005244F1"/>
    <w:rsid w:val="005245FE"/>
    <w:rsid w:val="00531A73"/>
    <w:rsid w:val="0054610B"/>
    <w:rsid w:val="005511D3"/>
    <w:rsid w:val="00554FF9"/>
    <w:rsid w:val="00571BCE"/>
    <w:rsid w:val="00580D5D"/>
    <w:rsid w:val="005822A9"/>
    <w:rsid w:val="00582976"/>
    <w:rsid w:val="005960BD"/>
    <w:rsid w:val="005979EE"/>
    <w:rsid w:val="005A020B"/>
    <w:rsid w:val="005B45A2"/>
    <w:rsid w:val="005C0FDA"/>
    <w:rsid w:val="005D11F6"/>
    <w:rsid w:val="005D5955"/>
    <w:rsid w:val="005E09E9"/>
    <w:rsid w:val="005E25F5"/>
    <w:rsid w:val="005E7728"/>
    <w:rsid w:val="005F1805"/>
    <w:rsid w:val="005F4F74"/>
    <w:rsid w:val="005F70C6"/>
    <w:rsid w:val="00606C1A"/>
    <w:rsid w:val="006130F5"/>
    <w:rsid w:val="006201A6"/>
    <w:rsid w:val="00620B21"/>
    <w:rsid w:val="00621DD2"/>
    <w:rsid w:val="00621EF9"/>
    <w:rsid w:val="00627648"/>
    <w:rsid w:val="00631E33"/>
    <w:rsid w:val="00636032"/>
    <w:rsid w:val="00645DD0"/>
    <w:rsid w:val="0067123F"/>
    <w:rsid w:val="006769BB"/>
    <w:rsid w:val="006858AD"/>
    <w:rsid w:val="00690FBD"/>
    <w:rsid w:val="00694CCA"/>
    <w:rsid w:val="00694DAC"/>
    <w:rsid w:val="006A2E22"/>
    <w:rsid w:val="006B5DB5"/>
    <w:rsid w:val="006D7FEF"/>
    <w:rsid w:val="006E0B05"/>
    <w:rsid w:val="006E2238"/>
    <w:rsid w:val="006F1D10"/>
    <w:rsid w:val="00704F78"/>
    <w:rsid w:val="007061B8"/>
    <w:rsid w:val="00716261"/>
    <w:rsid w:val="00730C57"/>
    <w:rsid w:val="007340B4"/>
    <w:rsid w:val="00735D33"/>
    <w:rsid w:val="0073797D"/>
    <w:rsid w:val="00741EAC"/>
    <w:rsid w:val="00743DA0"/>
    <w:rsid w:val="00751172"/>
    <w:rsid w:val="00756847"/>
    <w:rsid w:val="007634CE"/>
    <w:rsid w:val="0076422A"/>
    <w:rsid w:val="00766A5F"/>
    <w:rsid w:val="00766C0B"/>
    <w:rsid w:val="0077574D"/>
    <w:rsid w:val="007776D6"/>
    <w:rsid w:val="00781FCD"/>
    <w:rsid w:val="007928A1"/>
    <w:rsid w:val="00794872"/>
    <w:rsid w:val="00794892"/>
    <w:rsid w:val="00796B7F"/>
    <w:rsid w:val="007B0BF7"/>
    <w:rsid w:val="007C48A0"/>
    <w:rsid w:val="007C6308"/>
    <w:rsid w:val="007D03C1"/>
    <w:rsid w:val="007D1E2A"/>
    <w:rsid w:val="007D3150"/>
    <w:rsid w:val="007E2F0E"/>
    <w:rsid w:val="007E3E7C"/>
    <w:rsid w:val="007E4071"/>
    <w:rsid w:val="007E634F"/>
    <w:rsid w:val="008028F5"/>
    <w:rsid w:val="00816F0F"/>
    <w:rsid w:val="00822817"/>
    <w:rsid w:val="00825D7E"/>
    <w:rsid w:val="008264A8"/>
    <w:rsid w:val="00833721"/>
    <w:rsid w:val="00850610"/>
    <w:rsid w:val="008522BA"/>
    <w:rsid w:val="00856430"/>
    <w:rsid w:val="008579FE"/>
    <w:rsid w:val="00862DAA"/>
    <w:rsid w:val="00871E80"/>
    <w:rsid w:val="0087749E"/>
    <w:rsid w:val="008A01DD"/>
    <w:rsid w:val="008A17C9"/>
    <w:rsid w:val="008B36CE"/>
    <w:rsid w:val="008C16DC"/>
    <w:rsid w:val="008D3BD6"/>
    <w:rsid w:val="008E37C1"/>
    <w:rsid w:val="008F7502"/>
    <w:rsid w:val="009005EF"/>
    <w:rsid w:val="00904C47"/>
    <w:rsid w:val="00905B80"/>
    <w:rsid w:val="00905ECB"/>
    <w:rsid w:val="00910EB6"/>
    <w:rsid w:val="00911CB3"/>
    <w:rsid w:val="0091460F"/>
    <w:rsid w:val="009162E3"/>
    <w:rsid w:val="00916D24"/>
    <w:rsid w:val="009209A6"/>
    <w:rsid w:val="00922EA2"/>
    <w:rsid w:val="009253B6"/>
    <w:rsid w:val="0093003C"/>
    <w:rsid w:val="00930416"/>
    <w:rsid w:val="009325C5"/>
    <w:rsid w:val="00936FC6"/>
    <w:rsid w:val="00950037"/>
    <w:rsid w:val="009540B6"/>
    <w:rsid w:val="00954761"/>
    <w:rsid w:val="009564C3"/>
    <w:rsid w:val="00957283"/>
    <w:rsid w:val="009633C3"/>
    <w:rsid w:val="00971990"/>
    <w:rsid w:val="0097469E"/>
    <w:rsid w:val="00982C08"/>
    <w:rsid w:val="009A04C9"/>
    <w:rsid w:val="009A0D1F"/>
    <w:rsid w:val="009A1411"/>
    <w:rsid w:val="009A49F2"/>
    <w:rsid w:val="009B02A7"/>
    <w:rsid w:val="009B2D2D"/>
    <w:rsid w:val="009B367D"/>
    <w:rsid w:val="009D26E5"/>
    <w:rsid w:val="009D2DC1"/>
    <w:rsid w:val="009D45E3"/>
    <w:rsid w:val="009D597A"/>
    <w:rsid w:val="009D6069"/>
    <w:rsid w:val="009D6193"/>
    <w:rsid w:val="009D6CC7"/>
    <w:rsid w:val="009E503F"/>
    <w:rsid w:val="009F1122"/>
    <w:rsid w:val="009F121F"/>
    <w:rsid w:val="009F5D4E"/>
    <w:rsid w:val="00A0658C"/>
    <w:rsid w:val="00A07452"/>
    <w:rsid w:val="00A10711"/>
    <w:rsid w:val="00A13A52"/>
    <w:rsid w:val="00A1707A"/>
    <w:rsid w:val="00A279EF"/>
    <w:rsid w:val="00A3065C"/>
    <w:rsid w:val="00A32EED"/>
    <w:rsid w:val="00A436FB"/>
    <w:rsid w:val="00A64D3B"/>
    <w:rsid w:val="00A65649"/>
    <w:rsid w:val="00A866D2"/>
    <w:rsid w:val="00A917C7"/>
    <w:rsid w:val="00A92DB4"/>
    <w:rsid w:val="00AA2D53"/>
    <w:rsid w:val="00AB70E3"/>
    <w:rsid w:val="00AD15A3"/>
    <w:rsid w:val="00AD641C"/>
    <w:rsid w:val="00AE2537"/>
    <w:rsid w:val="00AF7A20"/>
    <w:rsid w:val="00B05A23"/>
    <w:rsid w:val="00B07545"/>
    <w:rsid w:val="00B11647"/>
    <w:rsid w:val="00B12E53"/>
    <w:rsid w:val="00B3677F"/>
    <w:rsid w:val="00B40B8E"/>
    <w:rsid w:val="00B43C29"/>
    <w:rsid w:val="00B50754"/>
    <w:rsid w:val="00B53F53"/>
    <w:rsid w:val="00B567D3"/>
    <w:rsid w:val="00B81FF2"/>
    <w:rsid w:val="00B849A9"/>
    <w:rsid w:val="00B84A04"/>
    <w:rsid w:val="00B84AE7"/>
    <w:rsid w:val="00B90335"/>
    <w:rsid w:val="00B91E76"/>
    <w:rsid w:val="00B95567"/>
    <w:rsid w:val="00B97235"/>
    <w:rsid w:val="00BA46B2"/>
    <w:rsid w:val="00BA7DD0"/>
    <w:rsid w:val="00BC0944"/>
    <w:rsid w:val="00BC1AF1"/>
    <w:rsid w:val="00BD29A8"/>
    <w:rsid w:val="00BE4B59"/>
    <w:rsid w:val="00BF140D"/>
    <w:rsid w:val="00BF20A3"/>
    <w:rsid w:val="00BF5F02"/>
    <w:rsid w:val="00C11AFF"/>
    <w:rsid w:val="00C16310"/>
    <w:rsid w:val="00C25DF6"/>
    <w:rsid w:val="00C26D5A"/>
    <w:rsid w:val="00C43402"/>
    <w:rsid w:val="00C46A03"/>
    <w:rsid w:val="00C50065"/>
    <w:rsid w:val="00C56967"/>
    <w:rsid w:val="00C61B9D"/>
    <w:rsid w:val="00C75692"/>
    <w:rsid w:val="00C833A6"/>
    <w:rsid w:val="00C85102"/>
    <w:rsid w:val="00C874B7"/>
    <w:rsid w:val="00C97AD7"/>
    <w:rsid w:val="00CA1AB2"/>
    <w:rsid w:val="00CB1439"/>
    <w:rsid w:val="00CB3E3B"/>
    <w:rsid w:val="00CB6649"/>
    <w:rsid w:val="00CB71A8"/>
    <w:rsid w:val="00CF1BC2"/>
    <w:rsid w:val="00CF2430"/>
    <w:rsid w:val="00CF3E42"/>
    <w:rsid w:val="00D057F1"/>
    <w:rsid w:val="00D06E53"/>
    <w:rsid w:val="00D16092"/>
    <w:rsid w:val="00D16CF9"/>
    <w:rsid w:val="00D20B10"/>
    <w:rsid w:val="00D218FE"/>
    <w:rsid w:val="00D46782"/>
    <w:rsid w:val="00D52675"/>
    <w:rsid w:val="00D655C8"/>
    <w:rsid w:val="00D74DC4"/>
    <w:rsid w:val="00D75306"/>
    <w:rsid w:val="00D85F1D"/>
    <w:rsid w:val="00D939F0"/>
    <w:rsid w:val="00D93C92"/>
    <w:rsid w:val="00DC0F4A"/>
    <w:rsid w:val="00E07AA0"/>
    <w:rsid w:val="00E13334"/>
    <w:rsid w:val="00E27581"/>
    <w:rsid w:val="00E33ADC"/>
    <w:rsid w:val="00E36293"/>
    <w:rsid w:val="00E43821"/>
    <w:rsid w:val="00E45A61"/>
    <w:rsid w:val="00E67CA8"/>
    <w:rsid w:val="00E805E5"/>
    <w:rsid w:val="00E829F7"/>
    <w:rsid w:val="00E842F3"/>
    <w:rsid w:val="00E900E9"/>
    <w:rsid w:val="00E93879"/>
    <w:rsid w:val="00EB499C"/>
    <w:rsid w:val="00EB69AE"/>
    <w:rsid w:val="00EC48F2"/>
    <w:rsid w:val="00EC4C46"/>
    <w:rsid w:val="00ED5DF0"/>
    <w:rsid w:val="00EE3245"/>
    <w:rsid w:val="00EF2395"/>
    <w:rsid w:val="00F13D24"/>
    <w:rsid w:val="00F15686"/>
    <w:rsid w:val="00F43518"/>
    <w:rsid w:val="00F478AA"/>
    <w:rsid w:val="00F51F83"/>
    <w:rsid w:val="00F539E1"/>
    <w:rsid w:val="00F54B65"/>
    <w:rsid w:val="00F554DF"/>
    <w:rsid w:val="00F640CF"/>
    <w:rsid w:val="00F64597"/>
    <w:rsid w:val="00F655C7"/>
    <w:rsid w:val="00F7381D"/>
    <w:rsid w:val="00F76C16"/>
    <w:rsid w:val="00F80130"/>
    <w:rsid w:val="00F83CDE"/>
    <w:rsid w:val="00F84275"/>
    <w:rsid w:val="00F919C1"/>
    <w:rsid w:val="00FA2D3C"/>
    <w:rsid w:val="00FA4A39"/>
    <w:rsid w:val="00FA673E"/>
    <w:rsid w:val="00FB6390"/>
    <w:rsid w:val="00FC692C"/>
    <w:rsid w:val="00FD46D4"/>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A1763"/>
  <w15:chartTrackingRefBased/>
  <w15:docId w15:val="{4391403A-F84D-4C36-A858-C4817EAF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422A"/>
    <w:pPr>
      <w:widowControl w:val="0"/>
      <w:spacing w:after="0" w:line="240" w:lineRule="auto"/>
      <w:ind w:left="100"/>
    </w:pPr>
    <w:rPr>
      <w:rFonts w:ascii="Arial" w:eastAsia="Arial" w:hAnsi="Arial"/>
      <w:sz w:val="20"/>
      <w:szCs w:val="20"/>
    </w:rPr>
  </w:style>
  <w:style w:type="character" w:customStyle="1" w:styleId="BodyTextChar">
    <w:name w:val="Body Text Char"/>
    <w:basedOn w:val="DefaultParagraphFont"/>
    <w:link w:val="BodyText"/>
    <w:uiPriority w:val="1"/>
    <w:rsid w:val="0076422A"/>
    <w:rPr>
      <w:rFonts w:ascii="Arial" w:eastAsia="Arial" w:hAnsi="Arial"/>
      <w:sz w:val="20"/>
      <w:szCs w:val="20"/>
    </w:rPr>
  </w:style>
  <w:style w:type="paragraph" w:styleId="ListParagraph">
    <w:name w:val="List Paragraph"/>
    <w:basedOn w:val="Normal"/>
    <w:uiPriority w:val="34"/>
    <w:qFormat/>
    <w:rsid w:val="00AD15A3"/>
    <w:pPr>
      <w:ind w:left="720"/>
      <w:contextualSpacing/>
    </w:pPr>
  </w:style>
  <w:style w:type="paragraph" w:customStyle="1" w:styleId="bullet">
    <w:name w:val="bullet"/>
    <w:basedOn w:val="Normal"/>
    <w:rsid w:val="00175B8F"/>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175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B8F"/>
  </w:style>
  <w:style w:type="paragraph" w:styleId="Footer">
    <w:name w:val="footer"/>
    <w:basedOn w:val="Normal"/>
    <w:link w:val="FooterChar"/>
    <w:uiPriority w:val="99"/>
    <w:unhideWhenUsed/>
    <w:rsid w:val="00175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B8F"/>
  </w:style>
  <w:style w:type="paragraph" w:customStyle="1" w:styleId="BasicParagraph">
    <w:name w:val="[Basic Paragraph]"/>
    <w:basedOn w:val="Normal"/>
    <w:uiPriority w:val="99"/>
    <w:rsid w:val="0097469E"/>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CommentReference">
    <w:name w:val="annotation reference"/>
    <w:basedOn w:val="DefaultParagraphFont"/>
    <w:uiPriority w:val="99"/>
    <w:semiHidden/>
    <w:unhideWhenUsed/>
    <w:rsid w:val="00850610"/>
    <w:rPr>
      <w:sz w:val="16"/>
      <w:szCs w:val="16"/>
    </w:rPr>
  </w:style>
  <w:style w:type="paragraph" w:styleId="CommentText">
    <w:name w:val="annotation text"/>
    <w:basedOn w:val="Normal"/>
    <w:link w:val="CommentTextChar"/>
    <w:uiPriority w:val="99"/>
    <w:semiHidden/>
    <w:unhideWhenUsed/>
    <w:rsid w:val="00850610"/>
    <w:pPr>
      <w:spacing w:line="240" w:lineRule="auto"/>
    </w:pPr>
    <w:rPr>
      <w:sz w:val="20"/>
      <w:szCs w:val="20"/>
    </w:rPr>
  </w:style>
  <w:style w:type="character" w:customStyle="1" w:styleId="CommentTextChar">
    <w:name w:val="Comment Text Char"/>
    <w:basedOn w:val="DefaultParagraphFont"/>
    <w:link w:val="CommentText"/>
    <w:uiPriority w:val="99"/>
    <w:semiHidden/>
    <w:rsid w:val="00850610"/>
    <w:rPr>
      <w:sz w:val="20"/>
      <w:szCs w:val="20"/>
    </w:rPr>
  </w:style>
  <w:style w:type="paragraph" w:styleId="CommentSubject">
    <w:name w:val="annotation subject"/>
    <w:basedOn w:val="CommentText"/>
    <w:next w:val="CommentText"/>
    <w:link w:val="CommentSubjectChar"/>
    <w:uiPriority w:val="99"/>
    <w:semiHidden/>
    <w:unhideWhenUsed/>
    <w:rsid w:val="00850610"/>
    <w:rPr>
      <w:b/>
      <w:bCs/>
    </w:rPr>
  </w:style>
  <w:style w:type="character" w:customStyle="1" w:styleId="CommentSubjectChar">
    <w:name w:val="Comment Subject Char"/>
    <w:basedOn w:val="CommentTextChar"/>
    <w:link w:val="CommentSubject"/>
    <w:uiPriority w:val="99"/>
    <w:semiHidden/>
    <w:rsid w:val="00850610"/>
    <w:rPr>
      <w:b/>
      <w:bCs/>
      <w:sz w:val="20"/>
      <w:szCs w:val="20"/>
    </w:rPr>
  </w:style>
  <w:style w:type="paragraph" w:styleId="BalloonText">
    <w:name w:val="Balloon Text"/>
    <w:basedOn w:val="Normal"/>
    <w:link w:val="BalloonTextChar"/>
    <w:uiPriority w:val="99"/>
    <w:semiHidden/>
    <w:unhideWhenUsed/>
    <w:rsid w:val="008506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0610"/>
    <w:rPr>
      <w:rFonts w:ascii="Segoe UI" w:hAnsi="Segoe UI" w:cs="Segoe UI"/>
      <w:sz w:val="18"/>
      <w:szCs w:val="18"/>
    </w:rPr>
  </w:style>
  <w:style w:type="paragraph" w:customStyle="1" w:styleId="Default">
    <w:name w:val="Default"/>
    <w:rsid w:val="00531A73"/>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46A03"/>
    <w:pPr>
      <w:spacing w:after="0" w:line="240" w:lineRule="auto"/>
    </w:pPr>
  </w:style>
  <w:style w:type="character" w:styleId="Hyperlink">
    <w:name w:val="Hyperlink"/>
    <w:basedOn w:val="DefaultParagraphFont"/>
    <w:uiPriority w:val="99"/>
    <w:unhideWhenUsed/>
    <w:rsid w:val="00F554DF"/>
    <w:rPr>
      <w:color w:val="0563C1" w:themeColor="hyperlink"/>
      <w:u w:val="single"/>
    </w:rPr>
  </w:style>
  <w:style w:type="character" w:styleId="UnresolvedMention">
    <w:name w:val="Unresolved Mention"/>
    <w:basedOn w:val="DefaultParagraphFont"/>
    <w:uiPriority w:val="99"/>
    <w:semiHidden/>
    <w:unhideWhenUsed/>
    <w:rsid w:val="00F55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936778">
      <w:bodyDiv w:val="1"/>
      <w:marLeft w:val="0"/>
      <w:marRight w:val="0"/>
      <w:marTop w:val="0"/>
      <w:marBottom w:val="0"/>
      <w:divBdr>
        <w:top w:val="none" w:sz="0" w:space="0" w:color="auto"/>
        <w:left w:val="none" w:sz="0" w:space="0" w:color="auto"/>
        <w:bottom w:val="none" w:sz="0" w:space="0" w:color="auto"/>
        <w:right w:val="none" w:sz="0" w:space="0" w:color="auto"/>
      </w:divBdr>
      <w:divsChild>
        <w:div w:id="17927447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maphoreItemMetadata xmlns="2898e7de-70f2-4e87-8a0b-04d2476ecc55" xsi:nil="true"/>
    <ExpirationDate xmlns="187fd213-306a-43e7-b9d7-8058b9544ec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8BC00363AC2434BA9B5F8F040071AF6" ma:contentTypeVersion="31" ma:contentTypeDescription="Create a new document." ma:contentTypeScope="" ma:versionID="0882ab4050862a7bbb5ceebcfb3862ce">
  <xsd:schema xmlns:xsd="http://www.w3.org/2001/XMLSchema" xmlns:xs="http://www.w3.org/2001/XMLSchema" xmlns:p="http://schemas.microsoft.com/office/2006/metadata/properties" xmlns:ns2="187fd213-306a-43e7-b9d7-8058b9544eca" xmlns:ns3="2898e7de-70f2-4e87-8a0b-04d2476ecc55" targetNamespace="http://schemas.microsoft.com/office/2006/metadata/properties" ma:root="true" ma:fieldsID="5e3d79eea434bdee9eaf14653c30705d" ns2:_="" ns3:_="">
    <xsd:import namespace="187fd213-306a-43e7-b9d7-8058b9544eca"/>
    <xsd:import namespace="2898e7de-70f2-4e87-8a0b-04d2476ecc55"/>
    <xsd:element name="properties">
      <xsd:complexType>
        <xsd:sequence>
          <xsd:element name="documentManagement">
            <xsd:complexType>
              <xsd:all>
                <xsd:element ref="ns2:ExpirationDate" minOccurs="0"/>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element ref="ns3:SemaphoreItemMetadata"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d213-306a-43e7-b9d7-8058b9544eca" elementFormDefault="qualified">
    <xsd:import namespace="http://schemas.microsoft.com/office/2006/documentManagement/types"/>
    <xsd:import namespace="http://schemas.microsoft.com/office/infopath/2007/PartnerControls"/>
    <xsd:element name="ExpirationDate" ma:index="8" nillable="true" ma:displayName="Expiration Date" ma:internalName="ExpirationDate"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98e7de-70f2-4e87-8a0b-04d2476ecc55" elementFormDefault="qualified">
    <xsd:import namespace="http://schemas.microsoft.com/office/2006/documentManagement/types"/>
    <xsd:import namespace="http://schemas.microsoft.com/office/infopath/2007/PartnerControls"/>
    <xsd:element name="SharedWithUsers" ma:index="1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emaphoreItemMetadata" ma:index="19" nillable="true" ma:displayName="Semaphore Status" ma:hidden="true" ma:internalName="SemaphoreItem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A4D269-D66B-4D17-BD6B-D35B8F6971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9EDB6E-342C-4BE8-A763-02BDB9582C26}">
  <ds:schemaRefs>
    <ds:schemaRef ds:uri="http://schemas.openxmlformats.org/officeDocument/2006/bibliography"/>
  </ds:schemaRefs>
</ds:datastoreItem>
</file>

<file path=customXml/itemProps3.xml><?xml version="1.0" encoding="utf-8"?>
<ds:datastoreItem xmlns:ds="http://schemas.openxmlformats.org/officeDocument/2006/customXml" ds:itemID="{1FD871CD-CE1C-435B-8FAF-FD6CD29960C4}"/>
</file>

<file path=customXml/itemProps4.xml><?xml version="1.0" encoding="utf-8"?>
<ds:datastoreItem xmlns:ds="http://schemas.openxmlformats.org/officeDocument/2006/customXml" ds:itemID="{83197D6E-AEA1-47E1-A3E5-567FB82B9F39}">
  <ds:schemaRefs>
    <ds:schemaRef ds:uri="http://schemas.microsoft.com/sharepoint/v3/contenttype/forms"/>
  </ds:schemaRefs>
</ds:datastoreItem>
</file>

<file path=docMetadata/LabelInfo.xml><?xml version="1.0" encoding="utf-8"?>
<clbl:labelList xmlns:clbl="http://schemas.microsoft.com/office/2020/mipLabelMetadata">
  <clbl:label id="{d026e4c1-5892-497a-b9da-ee493c9f0364}" enabled="0" method="" siteId="{d026e4c1-5892-497a-b9da-ee493c9f0364}"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798</Words>
  <Characters>4551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Horizon Pharma</Company>
  <LinksUpToDate>false</LinksUpToDate>
  <CharactersWithSpaces>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Anthony</dc:creator>
  <cp:keywords/>
  <dc:description/>
  <cp:lastModifiedBy>Howard Odom, Edcardo</cp:lastModifiedBy>
  <cp:revision>2</cp:revision>
  <dcterms:created xsi:type="dcterms:W3CDTF">2025-03-25T14:00:00Z</dcterms:created>
  <dcterms:modified xsi:type="dcterms:W3CDTF">2025-03-25T14:00:00Z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0x010100C8BC00363AC2434BA9B5F8F040071AF6</vt:lpwstr>
  </property>
  <property fmtid="{D5CDD505-2E9C-101B-9397-08002B2CF9AE}" pid="3" name="MSIP_Label_f31142f3-8099-46d1-8755-df3fda1ce27f_Enabled">
    <vt:lpwstr>true</vt:lpwstr>
  </property>
  <property fmtid="{D5CDD505-2E9C-101B-9397-08002B2CF9AE}" pid="4" name="MSIP_Label_f31142f3-8099-46d1-8755-df3fda1ce27f_SetDate">
    <vt:lpwstr>2025-02-21T18:22:42Z</vt:lpwstr>
  </property>
  <property fmtid="{D5CDD505-2E9C-101B-9397-08002B2CF9AE}" pid="5" name="MSIP_Label_f31142f3-8099-46d1-8755-df3fda1ce27f_Method">
    <vt:lpwstr>Privileged</vt:lpwstr>
  </property>
  <property fmtid="{D5CDD505-2E9C-101B-9397-08002B2CF9AE}" pid="6" name="MSIP_Label_f31142f3-8099-46d1-8755-df3fda1ce27f_Name">
    <vt:lpwstr>Public_</vt:lpwstr>
  </property>
  <property fmtid="{D5CDD505-2E9C-101B-9397-08002B2CF9AE}" pid="7" name="MSIP_Label_f31142f3-8099-46d1-8755-df3fda1ce27f_SiteId">
    <vt:lpwstr>4b4266a6-1368-41af-ad5a-59eb634f7ad8</vt:lpwstr>
  </property>
  <property fmtid="{D5CDD505-2E9C-101B-9397-08002B2CF9AE}" pid="8" name="MSIP_Label_f31142f3-8099-46d1-8755-df3fda1ce27f_ActionId">
    <vt:lpwstr>f12e147c-cbc0-432c-a5c8-03d96041897f</vt:lpwstr>
  </property>
  <property fmtid="{D5CDD505-2E9C-101B-9397-08002B2CF9AE}" pid="9" name="MSIP_Label_f31142f3-8099-46d1-8755-df3fda1ce27f_ContentBits">
    <vt:lpwstr>0</vt:lpwstr>
  </property>
</Properties>
</file>